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55" w:rsidRPr="005F0655" w:rsidRDefault="005F0655" w:rsidP="005F0655">
      <w:pPr>
        <w:pStyle w:val="1"/>
        <w:spacing w:before="0" w:beforeAutospacing="0" w:after="300" w:afterAutospacing="0"/>
        <w:jc w:val="both"/>
        <w:rPr>
          <w:b w:val="0"/>
          <w:bCs w:val="0"/>
          <w:color w:val="405965"/>
          <w:sz w:val="26"/>
          <w:szCs w:val="26"/>
        </w:rPr>
      </w:pPr>
      <w:r w:rsidRPr="005F0655">
        <w:rPr>
          <w:b w:val="0"/>
          <w:bCs w:val="0"/>
          <w:color w:val="405965"/>
          <w:sz w:val="26"/>
          <w:szCs w:val="26"/>
        </w:rPr>
        <w:t xml:space="preserve">Особенности налогообложения отдельных видов транспортных средств и недвижимости </w:t>
      </w:r>
    </w:p>
    <w:p w:rsidR="005F0655" w:rsidRPr="005F0655" w:rsidRDefault="005F0655" w:rsidP="00886A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bookmarkStart w:id="0" w:name="_GoBack"/>
      <w:bookmarkEnd w:id="0"/>
      <w:proofErr w:type="gramStart"/>
      <w:r w:rsidRPr="005F0655">
        <w:rPr>
          <w:color w:val="405965"/>
          <w:sz w:val="26"/>
          <w:szCs w:val="26"/>
        </w:rPr>
        <w:t xml:space="preserve">Влияет ли на налогообложение маломерных судов их </w:t>
      </w:r>
      <w:proofErr w:type="spellStart"/>
      <w:r w:rsidRPr="005F0655">
        <w:rPr>
          <w:color w:val="405965"/>
          <w:sz w:val="26"/>
          <w:szCs w:val="26"/>
        </w:rPr>
        <w:t>госрегистрация</w:t>
      </w:r>
      <w:proofErr w:type="spellEnd"/>
      <w:r w:rsidRPr="005F0655">
        <w:rPr>
          <w:color w:val="405965"/>
          <w:sz w:val="26"/>
          <w:szCs w:val="26"/>
        </w:rPr>
        <w:t xml:space="preserve"> в различных реестрах, вправе ли регионы изменять порядок применения кадастровой стоимости в качестве налоговой базы по налогу на имущество организаций, по какой налоговой ставке облагается земельный участок, приобретенный для ИЖС коммерческой организацией, рассказал начальник Управления налогообложения имущества ФНС России </w:t>
      </w:r>
      <w:r w:rsidRPr="005F0655">
        <w:rPr>
          <w:rStyle w:val="a5"/>
          <w:color w:val="405965"/>
          <w:sz w:val="26"/>
          <w:szCs w:val="26"/>
        </w:rPr>
        <w:t xml:space="preserve">Алексей </w:t>
      </w:r>
      <w:proofErr w:type="spellStart"/>
      <w:r w:rsidRPr="005F0655">
        <w:rPr>
          <w:rStyle w:val="a5"/>
          <w:color w:val="405965"/>
          <w:sz w:val="26"/>
          <w:szCs w:val="26"/>
        </w:rPr>
        <w:t>Лащёнов</w:t>
      </w:r>
      <w:proofErr w:type="spellEnd"/>
      <w:r w:rsidRPr="005F0655">
        <w:rPr>
          <w:color w:val="405965"/>
          <w:sz w:val="26"/>
          <w:szCs w:val="26"/>
        </w:rPr>
        <w:t> в интервью журналу ФНС России «Налоговая политика и практика».</w:t>
      </w:r>
      <w:proofErr w:type="gramEnd"/>
    </w:p>
    <w:p w:rsidR="005F0655" w:rsidRPr="005F0655" w:rsidRDefault="005F0655" w:rsidP="00886A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proofErr w:type="gramStart"/>
      <w:r w:rsidRPr="005F0655">
        <w:rPr>
          <w:color w:val="405965"/>
          <w:sz w:val="26"/>
          <w:szCs w:val="26"/>
        </w:rPr>
        <w:t>Так, транспортный налог </w:t>
      </w:r>
      <w:hyperlink r:id="rId5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исчисляется</w:t>
        </w:r>
      </w:hyperlink>
      <w:r w:rsidRPr="005F0655">
        <w:rPr>
          <w:color w:val="405965"/>
          <w:sz w:val="26"/>
          <w:szCs w:val="26"/>
        </w:rPr>
        <w:t xml:space="preserve"> на основании сведений органов (организаций, должностных лиц), осуществляющих </w:t>
      </w:r>
      <w:proofErr w:type="spellStart"/>
      <w:r w:rsidRPr="005F0655">
        <w:rPr>
          <w:color w:val="405965"/>
          <w:sz w:val="26"/>
          <w:szCs w:val="26"/>
        </w:rPr>
        <w:t>госрегистрацию</w:t>
      </w:r>
      <w:proofErr w:type="spellEnd"/>
      <w:r w:rsidRPr="005F0655">
        <w:rPr>
          <w:color w:val="405965"/>
          <w:sz w:val="26"/>
          <w:szCs w:val="26"/>
        </w:rPr>
        <w:t xml:space="preserve"> транспортных средств в соответствии с законодательством РФ, если иное не предусмотрено </w:t>
      </w:r>
      <w:hyperlink r:id="rId6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ст. 362 НК РФ</w:t>
        </w:r>
      </w:hyperlink>
      <w:r w:rsidRPr="005F0655">
        <w:rPr>
          <w:color w:val="405965"/>
          <w:sz w:val="26"/>
          <w:szCs w:val="26"/>
        </w:rPr>
        <w:t>. При этом не определены особенности расчета налога в зависимости от регистрации водного (включая маломерное) судна в каком-либо реестре, за исключением судов, зарегистрированных в Российском международном реестре судов и Российском открытом реестре судов</w:t>
      </w:r>
      <w:proofErr w:type="gramEnd"/>
      <w:r w:rsidRPr="005F0655">
        <w:rPr>
          <w:color w:val="405965"/>
          <w:sz w:val="26"/>
          <w:szCs w:val="26"/>
        </w:rPr>
        <w:t>, которые </w:t>
      </w:r>
      <w:hyperlink r:id="rId7" w:anchor="block_3582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не являются</w:t>
        </w:r>
      </w:hyperlink>
      <w:r w:rsidRPr="005F0655">
        <w:rPr>
          <w:color w:val="405965"/>
          <w:sz w:val="26"/>
          <w:szCs w:val="26"/>
        </w:rPr>
        <w:t> объектами налогообложения.</w:t>
      </w:r>
    </w:p>
    <w:p w:rsidR="005F0655" w:rsidRPr="005F0655" w:rsidRDefault="005F0655" w:rsidP="005F0655">
      <w:pPr>
        <w:pStyle w:val="a4"/>
        <w:shd w:val="clear" w:color="auto" w:fill="FFFFFF"/>
        <w:spacing w:before="0" w:beforeAutospacing="0" w:after="0" w:afterAutospacing="0"/>
        <w:jc w:val="both"/>
        <w:rPr>
          <w:color w:val="405965"/>
          <w:sz w:val="26"/>
          <w:szCs w:val="26"/>
        </w:rPr>
      </w:pPr>
      <w:r w:rsidRPr="005F0655">
        <w:rPr>
          <w:color w:val="405965"/>
          <w:sz w:val="26"/>
          <w:szCs w:val="26"/>
        </w:rPr>
        <w:t>Кроме того, </w:t>
      </w:r>
      <w:hyperlink r:id="rId8" w:anchor="block_3582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не являются</w:t>
        </w:r>
      </w:hyperlink>
      <w:r w:rsidRPr="005F0655">
        <w:rPr>
          <w:color w:val="405965"/>
          <w:sz w:val="26"/>
          <w:szCs w:val="26"/>
        </w:rPr>
        <w:t> объектом налогообложения: промысловые морские и речные суда; пассажирские и грузовые морские, речные суда, находящиеся в собственности (на праве хозяйственного ведения или оперативного управления) организаций и предпринимателей, основным видом деятельности которых является осуществление пассажирских и (или) грузовых перевозок; весельные лодки, а также моторные лодки с двигателем мощностью не более пяти лошадиных сил, зарегистрированные до дня вступления в силу ФЗ </w:t>
      </w:r>
      <w:hyperlink r:id="rId9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от 23.04.2012 № 36-ФЗ</w:t>
        </w:r>
      </w:hyperlink>
      <w:r w:rsidRPr="005F0655">
        <w:rPr>
          <w:color w:val="405965"/>
          <w:sz w:val="26"/>
          <w:szCs w:val="26"/>
        </w:rPr>
        <w:t>. Иные </w:t>
      </w:r>
      <w:hyperlink r:id="rId10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льготы</w:t>
        </w:r>
      </w:hyperlink>
      <w:r w:rsidRPr="005F0655">
        <w:rPr>
          <w:color w:val="405965"/>
          <w:sz w:val="26"/>
          <w:szCs w:val="26"/>
        </w:rPr>
        <w:t> при налогообложении маломерных судов могут устанавливаться законами субъектов РФ.</w:t>
      </w:r>
    </w:p>
    <w:p w:rsidR="005F0655" w:rsidRPr="005F0655" w:rsidRDefault="005F0655" w:rsidP="00886A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5F0655">
        <w:rPr>
          <w:color w:val="405965"/>
          <w:sz w:val="26"/>
          <w:szCs w:val="26"/>
        </w:rPr>
        <w:t>При установлении налога на имущество организаций законами субъектов РФ </w:t>
      </w:r>
      <w:hyperlink r:id="rId11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могут вводиться</w:t>
        </w:r>
      </w:hyperlink>
      <w:r w:rsidRPr="005F0655">
        <w:rPr>
          <w:color w:val="405965"/>
          <w:sz w:val="26"/>
          <w:szCs w:val="26"/>
        </w:rPr>
        <w:t> предусмотренные </w:t>
      </w:r>
      <w:hyperlink r:id="rId12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п. 1 ст. 378.2 НК РФ</w:t>
        </w:r>
      </w:hyperlink>
      <w:r w:rsidRPr="005F0655">
        <w:rPr>
          <w:color w:val="405965"/>
          <w:sz w:val="26"/>
          <w:szCs w:val="26"/>
        </w:rPr>
        <w:t xml:space="preserve"> особенности определения налоговой базы для отдельных объектов недвижимого имущества. При этом у регионов </w:t>
      </w:r>
      <w:proofErr w:type="gramStart"/>
      <w:r w:rsidRPr="005F0655">
        <w:rPr>
          <w:color w:val="405965"/>
          <w:sz w:val="26"/>
          <w:szCs w:val="26"/>
        </w:rPr>
        <w:t>нет полномочий изменять</w:t>
      </w:r>
      <w:proofErr w:type="gramEnd"/>
      <w:r w:rsidRPr="005F0655">
        <w:rPr>
          <w:color w:val="405965"/>
          <w:sz w:val="26"/>
          <w:szCs w:val="26"/>
        </w:rPr>
        <w:t xml:space="preserve"> установленные в НК РФ условия применения кадастровой стоимости в качестве налоговой базы, в том числе продлевать на 2024 год действие </w:t>
      </w:r>
      <w:hyperlink r:id="rId13" w:anchor="p_29304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 xml:space="preserve">положений </w:t>
        </w:r>
        <w:proofErr w:type="spellStart"/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абз</w:t>
        </w:r>
        <w:proofErr w:type="spellEnd"/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. 2 п. 2 ст. 375 НК РФ</w:t>
        </w:r>
      </w:hyperlink>
      <w:r w:rsidRPr="005F0655">
        <w:rPr>
          <w:color w:val="405965"/>
          <w:sz w:val="26"/>
          <w:szCs w:val="26"/>
        </w:rPr>
        <w:t>.</w:t>
      </w:r>
    </w:p>
    <w:p w:rsidR="005F0655" w:rsidRPr="005F0655" w:rsidRDefault="005F0655" w:rsidP="00886A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5F0655">
        <w:rPr>
          <w:color w:val="405965"/>
          <w:sz w:val="26"/>
          <w:szCs w:val="26"/>
        </w:rPr>
        <w:t>Налоговые ставки по земельному налогу не могут </w:t>
      </w:r>
      <w:hyperlink r:id="rId14" w:anchor="p_29867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превышать</w:t>
        </w:r>
      </w:hyperlink>
      <w:r w:rsidRPr="005F0655">
        <w:rPr>
          <w:color w:val="405965"/>
          <w:sz w:val="26"/>
          <w:szCs w:val="26"/>
        </w:rPr>
        <w:t> 0,3% в отношении земельных участков, приобретенных для индивидуального жилищного строительства. Исключение - земельные участки, используемые в предпринимательской деятельности. В связи с этим в </w:t>
      </w:r>
      <w:hyperlink r:id="rId15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Определении Верховного Суда РФ от 28.03.2023 № 305-ЭС22-27530</w:t>
        </w:r>
      </w:hyperlink>
      <w:r w:rsidRPr="005F0655">
        <w:rPr>
          <w:color w:val="405965"/>
          <w:sz w:val="26"/>
          <w:szCs w:val="26"/>
        </w:rPr>
        <w:t> указано, что коммерческие организации исключены из числа субъектов, которые вправе применять пониженную ставку налога (до 0,3%) в отношении земельных участков, приобретенных для ИЖС, даже в случаях, когда они возводят объекты ИЖС на принадлежащих им участках для реализации гражданам.</w:t>
      </w:r>
    </w:p>
    <w:p w:rsidR="005F0655" w:rsidRPr="005F0655" w:rsidRDefault="005F0655" w:rsidP="00886A0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  <w:sz w:val="26"/>
          <w:szCs w:val="26"/>
        </w:rPr>
      </w:pPr>
      <w:r w:rsidRPr="005F0655">
        <w:rPr>
          <w:color w:val="405965"/>
          <w:sz w:val="26"/>
          <w:szCs w:val="26"/>
        </w:rPr>
        <w:t>Начиная с 2020 года сам факт принадлежности коммерческой организации земельного участка, приобретенного для ИЖС, исключает возможность </w:t>
      </w:r>
      <w:hyperlink r:id="rId16" w:anchor="p_29873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применения</w:t>
        </w:r>
      </w:hyperlink>
      <w:r w:rsidRPr="005F0655">
        <w:rPr>
          <w:color w:val="405965"/>
          <w:sz w:val="26"/>
          <w:szCs w:val="26"/>
        </w:rPr>
        <w:t> льготной налоговой ставки. В таком случае исчисление налога производится по ставке в размере, </w:t>
      </w:r>
      <w:hyperlink r:id="rId17" w:anchor="block_394012" w:tgtFrame="_blank" w:history="1">
        <w:r w:rsidRPr="005F0655">
          <w:rPr>
            <w:rStyle w:val="a3"/>
            <w:rFonts w:ascii="Times New Roman" w:hAnsi="Times New Roman"/>
            <w:color w:val="0066B3"/>
            <w:sz w:val="26"/>
            <w:szCs w:val="26"/>
          </w:rPr>
          <w:t>не превышающем 1,5 %</w:t>
        </w:r>
      </w:hyperlink>
      <w:r w:rsidRPr="005F0655">
        <w:rPr>
          <w:color w:val="405965"/>
          <w:sz w:val="26"/>
          <w:szCs w:val="26"/>
        </w:rPr>
        <w:t>, установленной для «прочих» земельных участков.</w:t>
      </w:r>
    </w:p>
    <w:sectPr w:rsidR="005F0655" w:rsidRPr="005F0655" w:rsidSect="00214B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E"/>
    <w:rsid w:val="00214B88"/>
    <w:rsid w:val="00234C9E"/>
    <w:rsid w:val="00285D7C"/>
    <w:rsid w:val="00312D88"/>
    <w:rsid w:val="00512DBB"/>
    <w:rsid w:val="005F0655"/>
    <w:rsid w:val="008320C6"/>
    <w:rsid w:val="00886A05"/>
    <w:rsid w:val="00AD53E0"/>
    <w:rsid w:val="00B23FF5"/>
    <w:rsid w:val="00C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06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234C9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234C9E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F065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5F0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9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06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234C9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1"/>
    <w:rsid w:val="00234C9E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F0655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5F0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78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4275ad84ee8598259d62489e6f3ece9b/" TargetMode="External"/><Relationship Id="rId13" Type="http://schemas.openxmlformats.org/officeDocument/2006/relationships/hyperlink" Target="http://nalog.garant.ru/fns/nk/17065ca3ca9dcacddcef32d00eb9d04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4275ad84ee8598259d62489e6f3ece9b/" TargetMode="External"/><Relationship Id="rId12" Type="http://schemas.openxmlformats.org/officeDocument/2006/relationships/hyperlink" Target="http://nalog.garant.ru/fns/nk/646882137a6a76f226bdfaff58df1005/" TargetMode="External"/><Relationship Id="rId17" Type="http://schemas.openxmlformats.org/officeDocument/2006/relationships/hyperlink" Target="http://nalog.garant.ru/fns/nk/925634f2f8bcd981eb812c49160bcd0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log.garant.ru/fns/nk/925634f2f8bcd981eb812c49160bcd05/" TargetMode="External"/><Relationship Id="rId1" Type="http://schemas.openxmlformats.org/officeDocument/2006/relationships/styles" Target="styles.xml"/><Relationship Id="rId6" Type="http://schemas.openxmlformats.org/officeDocument/2006/relationships/hyperlink" Target="http://nalog.garant.ru/fns/nk/5cd0adf6ff1d07dffd68070d0f2219b8/" TargetMode="External"/><Relationship Id="rId11" Type="http://schemas.openxmlformats.org/officeDocument/2006/relationships/hyperlink" Target="http://nalog.garant.ru/fns/nk/6cd3b2ea204ffc19c66b3cebfb544416/" TargetMode="External"/><Relationship Id="rId5" Type="http://schemas.openxmlformats.org/officeDocument/2006/relationships/hyperlink" Target="http://nalog.garant.ru/fns/nk/5cd0adf6ff1d07dffd68070d0f2219b8/" TargetMode="External"/><Relationship Id="rId15" Type="http://schemas.openxmlformats.org/officeDocument/2006/relationships/hyperlink" Target="https://vsrf.ru/stor_pdf_ec.php?id=2231192" TargetMode="External"/><Relationship Id="rId10" Type="http://schemas.openxmlformats.org/officeDocument/2006/relationships/hyperlink" Target="http://nalog.garant.ru/fns/nk/f1a830178d95fe64ed4df664ef984d6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204240007" TargetMode="External"/><Relationship Id="rId14" Type="http://schemas.openxmlformats.org/officeDocument/2006/relationships/hyperlink" Target="http://nalog.garant.ru/fns/nk/925634f2f8bcd981eb812c49160bcd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Красько Надежда Владимировна</cp:lastModifiedBy>
  <cp:revision>3</cp:revision>
  <cp:lastPrinted>2024-02-15T07:23:00Z</cp:lastPrinted>
  <dcterms:created xsi:type="dcterms:W3CDTF">2024-02-15T07:11:00Z</dcterms:created>
  <dcterms:modified xsi:type="dcterms:W3CDTF">2024-02-15T07:23:00Z</dcterms:modified>
</cp:coreProperties>
</file>