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jc w:val="right"/>
        <w:outlineLvl w:val="0"/>
      </w:pPr>
      <w:r>
        <w:t>Приложение N 5</w:t>
      </w:r>
    </w:p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jc w:val="right"/>
      </w:pPr>
      <w:r>
        <w:t>Утверждена</w:t>
      </w:r>
    </w:p>
    <w:p w:rsidR="00E4713A" w:rsidRDefault="00FF6D80">
      <w:pPr>
        <w:pStyle w:val="ConsPlusNormal0"/>
        <w:jc w:val="right"/>
      </w:pPr>
      <w:r>
        <w:t>приказом Росстата</w:t>
      </w:r>
    </w:p>
    <w:p w:rsidR="00E4713A" w:rsidRDefault="00FF6D80">
      <w:pPr>
        <w:pStyle w:val="ConsPlusNormal0"/>
        <w:jc w:val="right"/>
      </w:pPr>
      <w:r>
        <w:t>от 31.07.2024 N 338</w:t>
      </w:r>
    </w:p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4713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>ФЕДЕРАЛЬНОЕ СТАТИСТИЧЕСКОЕ НАБЛЮДЕНИЕ</w:t>
            </w:r>
          </w:p>
        </w:tc>
      </w:tr>
    </w:tbl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4713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 xml:space="preserve"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</w:t>
            </w:r>
            <w:hyperlink r:id="rId7" w:tooltip="&quot;Кодекс Российской Федерации об административных правонарушениях&quot; от 30.12.2001 N 195-ФЗ (ред. от 23.11.2024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</w:tbl>
    <w:p w:rsidR="00E4713A" w:rsidRDefault="00E4713A">
      <w:pPr>
        <w:pStyle w:val="ConsPlusNormal0"/>
        <w:jc w:val="both"/>
      </w:pPr>
    </w:p>
    <w:p w:rsidR="00E4713A" w:rsidRDefault="00E4713A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4713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bookmarkStart w:id="0" w:name="P3007"/>
            <w:bookmarkEnd w:id="0"/>
            <w:r>
              <w:t>СВЕДЕНИЯ</w:t>
            </w:r>
          </w:p>
          <w:p w:rsidR="00E4713A" w:rsidRDefault="00FF6D80">
            <w:pPr>
              <w:pStyle w:val="ConsPlusNormal0"/>
              <w:jc w:val="center"/>
            </w:pPr>
            <w:r>
              <w:t>О СОСТОЯНИИ УСЛОВИЙ ТРУДА И КОМПЕНСАЦИЯХ ЗА РАБОТУ С ВРЕДНЫМИ И (ИЛИ) ОПАСНЫМИ УСЛОВИЯМИ ТРУДА</w:t>
            </w:r>
          </w:p>
          <w:p w:rsidR="00E4713A" w:rsidRDefault="00FF6D80">
            <w:pPr>
              <w:pStyle w:val="ConsPlusNormal0"/>
              <w:jc w:val="center"/>
            </w:pPr>
            <w:r>
              <w:t>за 20__ г.</w:t>
            </w:r>
          </w:p>
        </w:tc>
      </w:tr>
    </w:tbl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814"/>
        <w:gridCol w:w="340"/>
        <w:gridCol w:w="2608"/>
      </w:tblGrid>
      <w:tr w:rsidR="00E4713A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>Предоставляют: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>Форма N 1-Т (условия труда)</w:t>
            </w:r>
          </w:p>
        </w:tc>
      </w:tr>
      <w:tr w:rsidR="00E4713A">
        <w:tblPrEx>
          <w:tblBorders>
            <w:right w:val="none" w:sz="0" w:space="0" w:color="auto"/>
          </w:tblBorders>
        </w:tblPrEx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</w:pPr>
            <w:proofErr w:type="gramStart"/>
            <w:r>
              <w:t>юридические лица (кроме субъектов малого предпринимательства), основной вид деятельности которых относится к сельскому, лесному хозяйству, охоте, рыболовству и рыбоводству; добыче полезных ископаемых; обрабатывающим производствам; обеспечению электрической энергией, газом и паром; кондиционированию воздуха; водоснабжению; водоотведению, организации сбора и утилизации отходов, деятельности по ликвидации загрязнений; строительству; транспортировке и хранению; деятельности в области информации и связи:</w:t>
            </w:r>
            <w:proofErr w:type="gramEnd"/>
          </w:p>
          <w:p w:rsidR="00E4713A" w:rsidRDefault="00FF6D80">
            <w:pPr>
              <w:pStyle w:val="ConsPlusNormal0"/>
              <w:ind w:left="283"/>
            </w:pPr>
            <w:r>
              <w:t>- территориальному органу Росстата в субъекте Российской Федерации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>с 1-го рабочего дня по 21 января после отчетного периода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13A" w:rsidRDefault="00FF6D80">
            <w:pPr>
              <w:pStyle w:val="ConsPlusNormal0"/>
              <w:jc w:val="center"/>
            </w:pPr>
            <w:r>
              <w:t>Приказ Росстата:</w:t>
            </w:r>
          </w:p>
          <w:p w:rsidR="00E4713A" w:rsidRDefault="00FF6D80">
            <w:pPr>
              <w:pStyle w:val="ConsPlusNormal0"/>
              <w:jc w:val="center"/>
            </w:pPr>
            <w:r>
              <w:t>Об утверждении формы</w:t>
            </w:r>
          </w:p>
          <w:p w:rsidR="00E4713A" w:rsidRDefault="00FF6D80">
            <w:pPr>
              <w:pStyle w:val="ConsPlusNormal0"/>
              <w:jc w:val="center"/>
            </w:pPr>
            <w:r>
              <w:t>от 31.07.2024 N 338</w:t>
            </w:r>
          </w:p>
          <w:p w:rsidR="00E4713A" w:rsidRDefault="00FF6D80">
            <w:pPr>
              <w:pStyle w:val="ConsPlusNormal0"/>
              <w:jc w:val="center"/>
            </w:pPr>
            <w:r>
              <w:t>О внесении изменений (при наличии)</w:t>
            </w:r>
          </w:p>
          <w:p w:rsidR="00E4713A" w:rsidRDefault="00FF6D80">
            <w:pPr>
              <w:pStyle w:val="ConsPlusNormal0"/>
              <w:jc w:val="center"/>
            </w:pPr>
            <w:r>
              <w:t>от __________ N ___</w:t>
            </w:r>
          </w:p>
          <w:p w:rsidR="00E4713A" w:rsidRDefault="00FF6D80">
            <w:pPr>
              <w:pStyle w:val="ConsPlusNormal0"/>
              <w:jc w:val="center"/>
            </w:pPr>
            <w:r>
              <w:t>от __________ N ___</w:t>
            </w:r>
          </w:p>
        </w:tc>
      </w:tr>
      <w:tr w:rsidR="00E4713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>Годовая</w:t>
            </w:r>
          </w:p>
        </w:tc>
      </w:tr>
    </w:tbl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819"/>
        <w:gridCol w:w="1474"/>
        <w:gridCol w:w="1644"/>
      </w:tblGrid>
      <w:tr w:rsidR="00E4713A">
        <w:tc>
          <w:tcPr>
            <w:tcW w:w="9071" w:type="dxa"/>
            <w:gridSpan w:val="4"/>
          </w:tcPr>
          <w:p w:rsidR="00E4713A" w:rsidRDefault="00FF6D80">
            <w:pPr>
              <w:pStyle w:val="ConsPlusNormal0"/>
            </w:pPr>
            <w:bookmarkStart w:id="1" w:name="P3033"/>
            <w:bookmarkEnd w:id="1"/>
            <w:r>
              <w:t>Наименование отчитывающейся организации ______________________________</w:t>
            </w:r>
          </w:p>
        </w:tc>
      </w:tr>
      <w:tr w:rsidR="00E4713A">
        <w:tc>
          <w:tcPr>
            <w:tcW w:w="9071" w:type="dxa"/>
            <w:gridSpan w:val="4"/>
          </w:tcPr>
          <w:p w:rsidR="00E4713A" w:rsidRDefault="00FF6D80">
            <w:pPr>
              <w:pStyle w:val="ConsPlusNormal0"/>
            </w:pPr>
            <w:bookmarkStart w:id="2" w:name="P3034"/>
            <w:bookmarkEnd w:id="2"/>
            <w:r>
              <w:t>Почтовый адрес ______________________________________________________</w:t>
            </w:r>
          </w:p>
        </w:tc>
      </w:tr>
      <w:tr w:rsidR="00E4713A">
        <w:tc>
          <w:tcPr>
            <w:tcW w:w="1134" w:type="dxa"/>
            <w:vMerge w:val="restart"/>
          </w:tcPr>
          <w:p w:rsidR="00E4713A" w:rsidRDefault="00FF6D80">
            <w:pPr>
              <w:pStyle w:val="ConsPlusNormal0"/>
              <w:jc w:val="center"/>
            </w:pPr>
            <w:bookmarkStart w:id="3" w:name="P3035"/>
            <w:bookmarkEnd w:id="3"/>
            <w:r>
              <w:t xml:space="preserve">Код формы по </w:t>
            </w:r>
            <w:hyperlink r:id="rId8" w:tooltip="&quot;ОК 011-93. Общероссийский классификатор управленческой документации&quot; (утв. Постановлением Госстандарта России от 30.12.1993 N 299) (ред. от 13.09.2024) {КонсультантПлюс}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937" w:type="dxa"/>
            <w:gridSpan w:val="3"/>
          </w:tcPr>
          <w:p w:rsidR="00E4713A" w:rsidRDefault="00FF6D80">
            <w:pPr>
              <w:pStyle w:val="ConsPlusNormal0"/>
              <w:jc w:val="center"/>
            </w:pPr>
            <w:r>
              <w:t>Код</w:t>
            </w:r>
          </w:p>
        </w:tc>
      </w:tr>
      <w:tr w:rsidR="00E4713A">
        <w:tc>
          <w:tcPr>
            <w:tcW w:w="1134" w:type="dxa"/>
            <w:vMerge/>
          </w:tcPr>
          <w:p w:rsidR="00E4713A" w:rsidRDefault="00E4713A">
            <w:pPr>
              <w:pStyle w:val="ConsPlusNormal0"/>
            </w:pPr>
          </w:p>
        </w:tc>
        <w:tc>
          <w:tcPr>
            <w:tcW w:w="4819" w:type="dxa"/>
          </w:tcPr>
          <w:p w:rsidR="00E4713A" w:rsidRDefault="00FF6D80">
            <w:pPr>
              <w:pStyle w:val="ConsPlusNormal0"/>
              <w:jc w:val="center"/>
            </w:pPr>
            <w:r>
              <w:t>отчитывающейся организации по ОКПО</w:t>
            </w:r>
          </w:p>
          <w:p w:rsidR="00E4713A" w:rsidRDefault="00FF6D80">
            <w:pPr>
              <w:pStyle w:val="ConsPlusNormal0"/>
              <w:jc w:val="center"/>
            </w:pPr>
            <w:r>
              <w:t xml:space="preserve">(для обособленного подразделения и головного подразделения юридического лица - </w:t>
            </w:r>
            <w:r>
              <w:lastRenderedPageBreak/>
              <w:t>идентификационный номер)</w:t>
            </w:r>
          </w:p>
        </w:tc>
        <w:tc>
          <w:tcPr>
            <w:tcW w:w="1474" w:type="dxa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1134" w:type="dxa"/>
          </w:tcPr>
          <w:p w:rsidR="00E4713A" w:rsidRDefault="00FF6D8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4819" w:type="dxa"/>
          </w:tcPr>
          <w:p w:rsidR="00E4713A" w:rsidRDefault="00FF6D8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E4713A" w:rsidRDefault="00FF6D8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4713A" w:rsidRDefault="00FF6D80">
            <w:pPr>
              <w:pStyle w:val="ConsPlusNormal0"/>
              <w:jc w:val="center"/>
            </w:pPr>
            <w:r>
              <w:t>4</w:t>
            </w:r>
          </w:p>
        </w:tc>
      </w:tr>
      <w:tr w:rsidR="00E4713A">
        <w:tc>
          <w:tcPr>
            <w:tcW w:w="1134" w:type="dxa"/>
          </w:tcPr>
          <w:p w:rsidR="00E4713A" w:rsidRDefault="00FF6D80">
            <w:pPr>
              <w:pStyle w:val="ConsPlusNormal0"/>
              <w:jc w:val="center"/>
            </w:pPr>
            <w:r>
              <w:t>0606004</w:t>
            </w:r>
          </w:p>
        </w:tc>
        <w:tc>
          <w:tcPr>
            <w:tcW w:w="4819" w:type="dxa"/>
          </w:tcPr>
          <w:p w:rsidR="00E4713A" w:rsidRDefault="00E4713A">
            <w:pPr>
              <w:pStyle w:val="ConsPlusNormal0"/>
            </w:pPr>
          </w:p>
        </w:tc>
        <w:tc>
          <w:tcPr>
            <w:tcW w:w="1474" w:type="dxa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</w:tcPr>
          <w:p w:rsidR="00E4713A" w:rsidRDefault="00E4713A">
            <w:pPr>
              <w:pStyle w:val="ConsPlusNormal0"/>
            </w:pPr>
          </w:p>
        </w:tc>
      </w:tr>
    </w:tbl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jc w:val="center"/>
        <w:outlineLvl w:val="1"/>
      </w:pPr>
      <w:bookmarkStart w:id="4" w:name="P3050"/>
      <w:bookmarkEnd w:id="4"/>
      <w:r>
        <w:t>Раздел 1. Состояние условий труда (человек)</w:t>
      </w:r>
    </w:p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624"/>
        <w:gridCol w:w="1247"/>
        <w:gridCol w:w="907"/>
        <w:gridCol w:w="1020"/>
      </w:tblGrid>
      <w:tr w:rsidR="00E4713A">
        <w:tc>
          <w:tcPr>
            <w:tcW w:w="5272" w:type="dxa"/>
            <w:vMerge w:val="restart"/>
          </w:tcPr>
          <w:p w:rsidR="00E4713A" w:rsidRDefault="00FF6D80">
            <w:pPr>
              <w:pStyle w:val="ConsPlusNormal0"/>
              <w:jc w:val="center"/>
            </w:pPr>
            <w:r>
              <w:t>Наименование показателей</w:t>
            </w:r>
          </w:p>
        </w:tc>
        <w:tc>
          <w:tcPr>
            <w:tcW w:w="624" w:type="dxa"/>
            <w:vMerge w:val="restart"/>
          </w:tcPr>
          <w:p w:rsidR="00E4713A" w:rsidRDefault="00FF6D80">
            <w:pPr>
              <w:pStyle w:val="ConsPlusNormal0"/>
              <w:jc w:val="center"/>
            </w:pPr>
            <w:r>
              <w:t>N строки</w:t>
            </w:r>
          </w:p>
        </w:tc>
        <w:tc>
          <w:tcPr>
            <w:tcW w:w="1247" w:type="dxa"/>
            <w:vMerge w:val="restart"/>
          </w:tcPr>
          <w:p w:rsidR="00E4713A" w:rsidRDefault="00FF6D80">
            <w:pPr>
              <w:pStyle w:val="ConsPlusNormal0"/>
              <w:jc w:val="center"/>
            </w:pPr>
            <w:r>
              <w:t>Весь персонал на конец отчетного года</w:t>
            </w:r>
          </w:p>
        </w:tc>
        <w:tc>
          <w:tcPr>
            <w:tcW w:w="1927" w:type="dxa"/>
            <w:gridSpan w:val="2"/>
          </w:tcPr>
          <w:p w:rsidR="00E4713A" w:rsidRDefault="00FF6D80">
            <w:pPr>
              <w:pStyle w:val="ConsPlusNormal0"/>
              <w:jc w:val="center"/>
            </w:pPr>
            <w:r>
              <w:t>из них</w:t>
            </w:r>
          </w:p>
        </w:tc>
      </w:tr>
      <w:tr w:rsidR="00E4713A">
        <w:tc>
          <w:tcPr>
            <w:tcW w:w="5272" w:type="dxa"/>
            <w:vMerge/>
          </w:tcPr>
          <w:p w:rsidR="00E4713A" w:rsidRDefault="00E4713A">
            <w:pPr>
              <w:pStyle w:val="ConsPlusNormal0"/>
            </w:pPr>
          </w:p>
        </w:tc>
        <w:tc>
          <w:tcPr>
            <w:tcW w:w="624" w:type="dxa"/>
            <w:vMerge/>
          </w:tcPr>
          <w:p w:rsidR="00E4713A" w:rsidRDefault="00E4713A">
            <w:pPr>
              <w:pStyle w:val="ConsPlusNormal0"/>
            </w:pPr>
          </w:p>
        </w:tc>
        <w:tc>
          <w:tcPr>
            <w:tcW w:w="1247" w:type="dxa"/>
            <w:vMerge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</w:tcPr>
          <w:p w:rsidR="00E4713A" w:rsidRDefault="00FF6D80">
            <w:pPr>
              <w:pStyle w:val="ConsPlusNormal0"/>
              <w:jc w:val="center"/>
            </w:pPr>
            <w:r>
              <w:t>женщины</w:t>
            </w:r>
          </w:p>
        </w:tc>
        <w:tc>
          <w:tcPr>
            <w:tcW w:w="1020" w:type="dxa"/>
          </w:tcPr>
          <w:p w:rsidR="00E4713A" w:rsidRDefault="00FF6D80">
            <w:pPr>
              <w:pStyle w:val="ConsPlusNormal0"/>
              <w:jc w:val="center"/>
            </w:pPr>
            <w:r>
              <w:t>лица моложе 18 лет</w:t>
            </w: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jc w:val="center"/>
            </w:pPr>
            <w:r>
              <w:t>А</w:t>
            </w:r>
          </w:p>
        </w:tc>
        <w:tc>
          <w:tcPr>
            <w:tcW w:w="624" w:type="dxa"/>
          </w:tcPr>
          <w:p w:rsidR="00E4713A" w:rsidRDefault="00FF6D80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247" w:type="dxa"/>
          </w:tcPr>
          <w:p w:rsidR="00E4713A" w:rsidRDefault="00FF6D80">
            <w:pPr>
              <w:pStyle w:val="ConsPlusNormal0"/>
              <w:jc w:val="center"/>
            </w:pPr>
            <w:bookmarkStart w:id="5" w:name="P3060"/>
            <w:bookmarkEnd w:id="5"/>
            <w:r>
              <w:t>3</w:t>
            </w:r>
          </w:p>
        </w:tc>
        <w:tc>
          <w:tcPr>
            <w:tcW w:w="907" w:type="dxa"/>
          </w:tcPr>
          <w:p w:rsidR="00E4713A" w:rsidRDefault="00FF6D80">
            <w:pPr>
              <w:pStyle w:val="ConsPlusNormal0"/>
              <w:jc w:val="center"/>
            </w:pPr>
            <w:bookmarkStart w:id="6" w:name="P3061"/>
            <w:bookmarkEnd w:id="6"/>
            <w:r>
              <w:t>4</w:t>
            </w:r>
          </w:p>
        </w:tc>
        <w:tc>
          <w:tcPr>
            <w:tcW w:w="1020" w:type="dxa"/>
          </w:tcPr>
          <w:p w:rsidR="00E4713A" w:rsidRDefault="00FF6D80">
            <w:pPr>
              <w:pStyle w:val="ConsPlusNormal0"/>
              <w:jc w:val="center"/>
            </w:pPr>
            <w:bookmarkStart w:id="7" w:name="P3062"/>
            <w:bookmarkEnd w:id="7"/>
            <w:r>
              <w:t>5</w:t>
            </w: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</w:pPr>
            <w:r>
              <w:t>Списочная численность работников (</w:t>
            </w:r>
            <w:proofErr w:type="gramStart"/>
            <w:r>
              <w:t>без</w:t>
            </w:r>
            <w:proofErr w:type="gramEnd"/>
            <w:r>
              <w:t xml:space="preserve"> находящихся в отпуске по беременности и родам и по уходу за ребенком)</w:t>
            </w:r>
          </w:p>
        </w:tc>
        <w:tc>
          <w:tcPr>
            <w:tcW w:w="624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bookmarkStart w:id="8" w:name="P3064"/>
            <w:bookmarkEnd w:id="8"/>
            <w:r>
              <w:t>01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283"/>
            </w:pPr>
            <w:proofErr w:type="gramStart"/>
            <w:r>
              <w:t xml:space="preserve">Из </w:t>
            </w:r>
            <w:hyperlink w:anchor="P3064" w:tooltip="01">
              <w:r>
                <w:rPr>
                  <w:color w:val="0000FF"/>
                </w:rPr>
                <w:t>строки 01</w:t>
              </w:r>
            </w:hyperlink>
            <w:r>
              <w:t xml:space="preserve"> - занятые на работах с вредными и (или) опасными условиями труда</w:t>
            </w:r>
            <w:proofErr w:type="gramEnd"/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9" w:name="P3069"/>
            <w:bookmarkEnd w:id="9"/>
            <w:r>
              <w:t>02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283"/>
            </w:pPr>
            <w:r>
              <w:t xml:space="preserve">Из </w:t>
            </w:r>
            <w:hyperlink w:anchor="P3069" w:tooltip="02">
              <w:r>
                <w:rPr>
                  <w:color w:val="0000FF"/>
                </w:rPr>
                <w:t>строки 02</w:t>
              </w:r>
            </w:hyperlink>
            <w:r>
              <w:t xml:space="preserve"> -</w:t>
            </w:r>
          </w:p>
          <w:p w:rsidR="00E4713A" w:rsidRDefault="00FF6D80">
            <w:pPr>
              <w:pStyle w:val="ConsPlusNormal0"/>
              <w:ind w:left="566"/>
            </w:pPr>
            <w:proofErr w:type="gramStart"/>
            <w:r>
              <w:t>занятые под воздействием вредных факторов производственной среды:</w:t>
            </w:r>
            <w:proofErr w:type="gramEnd"/>
          </w:p>
          <w:p w:rsidR="00E4713A" w:rsidRDefault="00FF6D80">
            <w:pPr>
              <w:pStyle w:val="ConsPlusNormal0"/>
              <w:ind w:left="849"/>
            </w:pPr>
            <w:r>
              <w:t>химического фактора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10" w:name="P3076"/>
            <w:bookmarkEnd w:id="10"/>
            <w:r>
              <w:t>03</w:t>
            </w:r>
          </w:p>
        </w:tc>
        <w:tc>
          <w:tcPr>
            <w:tcW w:w="1247" w:type="dxa"/>
            <w:vAlign w:val="bottom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bottom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биологического фактора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 xml:space="preserve">аэрозолей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действия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шума, ультразвука воздушного, инфразвука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вибрации (общей и локальной)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неионизирующего излучения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ионизирующего излучения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микроклимата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световой среды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566"/>
            </w:pPr>
            <w:proofErr w:type="gramStart"/>
            <w:r>
              <w:t>занятые</w:t>
            </w:r>
            <w:proofErr w:type="gramEnd"/>
            <w:r>
              <w:t xml:space="preserve"> под воздействием факторов трудового процесса:</w:t>
            </w:r>
          </w:p>
          <w:p w:rsidR="00E4713A" w:rsidRDefault="00FF6D80">
            <w:pPr>
              <w:pStyle w:val="ConsPlusNormal0"/>
              <w:ind w:left="849"/>
            </w:pPr>
            <w:r>
              <w:t>тяжести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11" w:name="P3122"/>
            <w:bookmarkEnd w:id="11"/>
            <w:r>
              <w:t>12</w:t>
            </w:r>
          </w:p>
        </w:tc>
        <w:tc>
          <w:tcPr>
            <w:tcW w:w="1247" w:type="dxa"/>
            <w:vAlign w:val="bottom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bottom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5272" w:type="dxa"/>
          </w:tcPr>
          <w:p w:rsidR="00E4713A" w:rsidRDefault="00FF6D80">
            <w:pPr>
              <w:pStyle w:val="ConsPlusNormal0"/>
              <w:ind w:left="849"/>
            </w:pPr>
            <w:r>
              <w:t>напряженности</w:t>
            </w:r>
          </w:p>
        </w:tc>
        <w:tc>
          <w:tcPr>
            <w:tcW w:w="624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12" w:name="P3127"/>
            <w:bookmarkEnd w:id="12"/>
            <w:r>
              <w:t>13</w:t>
            </w:r>
          </w:p>
        </w:tc>
        <w:tc>
          <w:tcPr>
            <w:tcW w:w="124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:rsidR="00E4713A" w:rsidRDefault="00E4713A">
            <w:pPr>
              <w:pStyle w:val="ConsPlusNormal0"/>
            </w:pPr>
          </w:p>
        </w:tc>
      </w:tr>
    </w:tbl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jc w:val="center"/>
        <w:outlineLvl w:val="1"/>
      </w:pPr>
      <w:bookmarkStart w:id="13" w:name="P3132"/>
      <w:bookmarkEnd w:id="13"/>
      <w:r>
        <w:t>Раздел 2. Гарантии и компенсации, предоставляемые</w:t>
      </w:r>
    </w:p>
    <w:p w:rsidR="00E4713A" w:rsidRDefault="00FF6D80">
      <w:pPr>
        <w:pStyle w:val="ConsPlusNormal0"/>
        <w:jc w:val="center"/>
      </w:pPr>
      <w:r>
        <w:t xml:space="preserve">работникам, занятым на работах с </w:t>
      </w:r>
      <w:proofErr w:type="gramStart"/>
      <w:r>
        <w:t>вредными</w:t>
      </w:r>
      <w:proofErr w:type="gramEnd"/>
      <w:r>
        <w:t xml:space="preserve"> и (или) опасными</w:t>
      </w:r>
    </w:p>
    <w:p w:rsidR="00E4713A" w:rsidRDefault="00FF6D80">
      <w:pPr>
        <w:pStyle w:val="ConsPlusNormal0"/>
        <w:jc w:val="center"/>
      </w:pPr>
      <w:r>
        <w:t>условиями труда</w:t>
      </w:r>
    </w:p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567"/>
        <w:gridCol w:w="1077"/>
        <w:gridCol w:w="907"/>
        <w:gridCol w:w="1644"/>
      </w:tblGrid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</w:tcPr>
          <w:p w:rsidR="00E4713A" w:rsidRDefault="00FF6D80">
            <w:pPr>
              <w:pStyle w:val="ConsPlusNormal0"/>
              <w:jc w:val="center"/>
            </w:pPr>
            <w:r>
              <w:t>N стро</w:t>
            </w:r>
            <w:r>
              <w:lastRenderedPageBreak/>
              <w:t>ки</w:t>
            </w:r>
          </w:p>
        </w:tc>
        <w:tc>
          <w:tcPr>
            <w:tcW w:w="1077" w:type="dxa"/>
          </w:tcPr>
          <w:p w:rsidR="00E4713A" w:rsidRDefault="00FF6D80">
            <w:pPr>
              <w:pStyle w:val="ConsPlusNormal0"/>
              <w:jc w:val="center"/>
            </w:pPr>
            <w:r>
              <w:lastRenderedPageBreak/>
              <w:t xml:space="preserve">Весь персонал </w:t>
            </w:r>
            <w:r>
              <w:lastRenderedPageBreak/>
              <w:t>на конец отчетного года, чел</w:t>
            </w:r>
          </w:p>
        </w:tc>
        <w:tc>
          <w:tcPr>
            <w:tcW w:w="907" w:type="dxa"/>
          </w:tcPr>
          <w:p w:rsidR="00E4713A" w:rsidRDefault="00FF6D80">
            <w:pPr>
              <w:pStyle w:val="ConsPlusNormal0"/>
              <w:jc w:val="center"/>
            </w:pPr>
            <w:r>
              <w:lastRenderedPageBreak/>
              <w:t xml:space="preserve">в том числе </w:t>
            </w:r>
            <w:r>
              <w:lastRenderedPageBreak/>
              <w:t>женщины</w:t>
            </w:r>
          </w:p>
        </w:tc>
        <w:tc>
          <w:tcPr>
            <w:tcW w:w="1644" w:type="dxa"/>
          </w:tcPr>
          <w:p w:rsidR="00E4713A" w:rsidRDefault="00FF6D80">
            <w:pPr>
              <w:pStyle w:val="ConsPlusNormal0"/>
              <w:jc w:val="center"/>
            </w:pPr>
            <w:r>
              <w:lastRenderedPageBreak/>
              <w:t xml:space="preserve">Фактические расходы на </w:t>
            </w:r>
            <w:r>
              <w:lastRenderedPageBreak/>
              <w:t xml:space="preserve">гарантии, компенсации и средства индивидуальной защиты в отчетном году,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</w:p>
          <w:p w:rsidR="00E4713A" w:rsidRDefault="00FF6D80">
            <w:pPr>
              <w:pStyle w:val="ConsPlusNormal0"/>
              <w:jc w:val="center"/>
            </w:pPr>
            <w:r>
              <w:t>(с одним десятичным знаком после запятой)</w:t>
            </w: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jc w:val="center"/>
            </w:pPr>
            <w:r>
              <w:lastRenderedPageBreak/>
              <w:t>А</w:t>
            </w:r>
          </w:p>
        </w:tc>
        <w:tc>
          <w:tcPr>
            <w:tcW w:w="567" w:type="dxa"/>
          </w:tcPr>
          <w:p w:rsidR="00E4713A" w:rsidRDefault="00FF6D80">
            <w:pPr>
              <w:pStyle w:val="ConsPlusNormal0"/>
              <w:jc w:val="center"/>
            </w:pPr>
            <w:r>
              <w:t>Б</w:t>
            </w:r>
          </w:p>
        </w:tc>
        <w:tc>
          <w:tcPr>
            <w:tcW w:w="1077" w:type="dxa"/>
          </w:tcPr>
          <w:p w:rsidR="00E4713A" w:rsidRDefault="00FF6D80">
            <w:pPr>
              <w:pStyle w:val="ConsPlusNormal0"/>
              <w:jc w:val="center"/>
            </w:pPr>
            <w:bookmarkStart w:id="14" w:name="P3144"/>
            <w:bookmarkEnd w:id="14"/>
            <w:r>
              <w:t>3</w:t>
            </w:r>
          </w:p>
        </w:tc>
        <w:tc>
          <w:tcPr>
            <w:tcW w:w="907" w:type="dxa"/>
          </w:tcPr>
          <w:p w:rsidR="00E4713A" w:rsidRDefault="00FF6D80">
            <w:pPr>
              <w:pStyle w:val="ConsPlusNormal0"/>
              <w:jc w:val="center"/>
            </w:pPr>
            <w:bookmarkStart w:id="15" w:name="P3145"/>
            <w:bookmarkEnd w:id="15"/>
            <w:r>
              <w:t>4</w:t>
            </w:r>
          </w:p>
        </w:tc>
        <w:tc>
          <w:tcPr>
            <w:tcW w:w="1644" w:type="dxa"/>
          </w:tcPr>
          <w:p w:rsidR="00E4713A" w:rsidRDefault="00FF6D80">
            <w:pPr>
              <w:pStyle w:val="ConsPlusNormal0"/>
              <w:jc w:val="center"/>
            </w:pPr>
            <w:bookmarkStart w:id="16" w:name="P3146"/>
            <w:bookmarkEnd w:id="16"/>
            <w:r>
              <w:t>5</w:t>
            </w:r>
          </w:p>
        </w:tc>
      </w:tr>
      <w:tr w:rsidR="00E4713A">
        <w:tblPrEx>
          <w:tblBorders>
            <w:insideH w:val="nil"/>
          </w:tblBorders>
        </w:tblPrEx>
        <w:tc>
          <w:tcPr>
            <w:tcW w:w="4876" w:type="dxa"/>
            <w:tcBorders>
              <w:bottom w:val="nil"/>
            </w:tcBorders>
          </w:tcPr>
          <w:p w:rsidR="00E4713A" w:rsidRDefault="00FF6D80">
            <w:pPr>
              <w:pStyle w:val="ConsPlusNormal0"/>
            </w:pPr>
            <w:r>
              <w:t xml:space="preserve">Списочная численность работников, занятых на работах с вредными и (или) опасными условиями труда, имеющих право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4713A" w:rsidRDefault="00E4713A">
            <w:pPr>
              <w:pStyle w:val="ConsPlusNormal0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</w:tcBorders>
          </w:tcPr>
          <w:p w:rsidR="00E4713A" w:rsidRDefault="00FF6D80">
            <w:pPr>
              <w:pStyle w:val="ConsPlusNormal0"/>
              <w:ind w:left="283"/>
            </w:pPr>
            <w:r>
              <w:t>ежегодный дополнительный оплачиваемый отпуск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17" w:name="P3153"/>
            <w:bookmarkEnd w:id="17"/>
            <w:r>
              <w:t>20</w:t>
            </w:r>
          </w:p>
        </w:tc>
        <w:tc>
          <w:tcPr>
            <w:tcW w:w="1077" w:type="dxa"/>
            <w:tcBorders>
              <w:top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tcBorders>
              <w:top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top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283"/>
            </w:pPr>
            <w:r>
              <w:t>сокращенную продолжительность рабочего времени</w:t>
            </w:r>
          </w:p>
        </w:tc>
        <w:tc>
          <w:tcPr>
            <w:tcW w:w="567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18" w:name="P3158"/>
            <w:bookmarkEnd w:id="18"/>
            <w:r>
              <w:t>21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r>
              <w:t>X</w:t>
            </w: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283"/>
            </w:pPr>
            <w:r>
              <w:t>лечебно-профилактическое питание</w:t>
            </w:r>
          </w:p>
        </w:tc>
        <w:tc>
          <w:tcPr>
            <w:tcW w:w="567" w:type="dxa"/>
          </w:tcPr>
          <w:p w:rsidR="00E4713A" w:rsidRDefault="00FF6D80">
            <w:pPr>
              <w:pStyle w:val="ConsPlusNormal0"/>
              <w:jc w:val="center"/>
            </w:pPr>
            <w:bookmarkStart w:id="19" w:name="P3163"/>
            <w:bookmarkEnd w:id="19"/>
            <w:r>
              <w:t>22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283"/>
            </w:pPr>
            <w:r>
              <w:t>молоко или другие равноценные пищевые продукты</w:t>
            </w:r>
          </w:p>
        </w:tc>
        <w:tc>
          <w:tcPr>
            <w:tcW w:w="567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20" w:name="P3168"/>
            <w:bookmarkEnd w:id="20"/>
            <w:r>
              <w:t>23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283"/>
            </w:pPr>
            <w:r>
              <w:t>оплату труда в повышенном размере</w:t>
            </w:r>
          </w:p>
        </w:tc>
        <w:tc>
          <w:tcPr>
            <w:tcW w:w="567" w:type="dxa"/>
          </w:tcPr>
          <w:p w:rsidR="00E4713A" w:rsidRDefault="00FF6D80">
            <w:pPr>
              <w:pStyle w:val="ConsPlusNormal0"/>
              <w:jc w:val="center"/>
            </w:pPr>
            <w:bookmarkStart w:id="21" w:name="P3173"/>
            <w:bookmarkEnd w:id="21"/>
            <w:r>
              <w:t>24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283"/>
            </w:pPr>
            <w:r>
              <w:t>проведение медицинских осмотров</w:t>
            </w:r>
          </w:p>
        </w:tc>
        <w:tc>
          <w:tcPr>
            <w:tcW w:w="567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22" w:name="P3178"/>
            <w:bookmarkEnd w:id="22"/>
            <w:r>
              <w:t>25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4876" w:type="dxa"/>
            <w:vAlign w:val="center"/>
          </w:tcPr>
          <w:p w:rsidR="00E4713A" w:rsidRDefault="00FF6D80">
            <w:pPr>
              <w:pStyle w:val="ConsPlusNormal0"/>
              <w:ind w:left="283"/>
            </w:pPr>
            <w:r>
              <w:t>досрочное назначение страховой пенсии по старости:</w:t>
            </w:r>
          </w:p>
          <w:p w:rsidR="00E4713A" w:rsidRDefault="00FF6D80">
            <w:pPr>
              <w:pStyle w:val="ConsPlusNormal0"/>
              <w:ind w:left="566"/>
            </w:pPr>
            <w:r>
              <w:t xml:space="preserve">по </w:t>
            </w:r>
            <w:hyperlink r:id="rId9" w:tooltip="Постановление Кабинета Министров СССР от 26.01.1991 N 10 (ред. от 02.10.1991) &quot;Об утверждении Списков производств, работ, профессий, должностей и показателей, дающих право на льготное пенсионное обеспечение&quot; {КонсультантПлюс}">
              <w:r>
                <w:rPr>
                  <w:color w:val="0000FF"/>
                </w:rPr>
                <w:t>списку N 1</w:t>
              </w:r>
            </w:hyperlink>
          </w:p>
        </w:tc>
        <w:tc>
          <w:tcPr>
            <w:tcW w:w="567" w:type="dxa"/>
            <w:vAlign w:val="bottom"/>
          </w:tcPr>
          <w:p w:rsidR="00E4713A" w:rsidRDefault="00FF6D80">
            <w:pPr>
              <w:pStyle w:val="ConsPlusNormal0"/>
              <w:jc w:val="center"/>
            </w:pPr>
            <w:bookmarkStart w:id="23" w:name="P3184"/>
            <w:bookmarkEnd w:id="23"/>
            <w:r>
              <w:t>26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r>
              <w:t>X</w:t>
            </w: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566"/>
            </w:pPr>
            <w:r>
              <w:t xml:space="preserve">по </w:t>
            </w:r>
            <w:hyperlink r:id="rId10" w:tooltip="Постановление Кабинета Министров СССР от 26.01.1991 N 10 (ред. от 02.10.1991) &quot;Об утверждении Списков производств, работ, профессий, должностей и показателей, дающих право на льготное пенсионное обеспечение&quot; {КонсультантПлюс}">
              <w:r>
                <w:rPr>
                  <w:color w:val="0000FF"/>
                </w:rPr>
                <w:t>списку N 2</w:t>
              </w:r>
            </w:hyperlink>
          </w:p>
        </w:tc>
        <w:tc>
          <w:tcPr>
            <w:tcW w:w="567" w:type="dxa"/>
          </w:tcPr>
          <w:p w:rsidR="00E4713A" w:rsidRDefault="00FF6D80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r>
              <w:t>X</w:t>
            </w: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566"/>
            </w:pPr>
            <w:r>
              <w:t>прочие пенсии за особые условия труда, пенсии за выслугу лет, установленные законодательством</w:t>
            </w:r>
          </w:p>
        </w:tc>
        <w:tc>
          <w:tcPr>
            <w:tcW w:w="567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bookmarkStart w:id="24" w:name="P3194"/>
            <w:bookmarkEnd w:id="24"/>
            <w:r>
              <w:t>28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r>
              <w:t>X</w:t>
            </w: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</w:pPr>
            <w:r>
              <w:t xml:space="preserve">Списочная численность работников, которым установлен хотя бы один вид гарантий и компенсаций, перечисленных в стр. с </w:t>
            </w:r>
            <w:hyperlink w:anchor="P3153" w:tooltip="20">
              <w:r>
                <w:rPr>
                  <w:color w:val="0000FF"/>
                </w:rPr>
                <w:t>20</w:t>
              </w:r>
            </w:hyperlink>
            <w:r>
              <w:t xml:space="preserve"> по </w:t>
            </w:r>
            <w:hyperlink w:anchor="P3194" w:tooltip="28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567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bookmarkStart w:id="25" w:name="P3199"/>
            <w:bookmarkEnd w:id="25"/>
            <w:r>
              <w:t>29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r>
              <w:t>X</w:t>
            </w: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</w:pPr>
            <w:r>
              <w:t xml:space="preserve">Списочная численность работников, получающих бесплатно спецодежду, </w:t>
            </w:r>
            <w:proofErr w:type="spellStart"/>
            <w:r>
              <w:t>спецобувь</w:t>
            </w:r>
            <w:proofErr w:type="spellEnd"/>
            <w:r>
              <w:t xml:space="preserve"> и другие средства индивидуальной защиты, - всего</w:t>
            </w:r>
          </w:p>
        </w:tc>
        <w:tc>
          <w:tcPr>
            <w:tcW w:w="567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bookmarkStart w:id="26" w:name="P3204"/>
            <w:bookmarkEnd w:id="26"/>
            <w:r>
              <w:t>30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713A" w:rsidRDefault="00E4713A">
            <w:pPr>
              <w:pStyle w:val="ConsPlusNormal0"/>
            </w:pPr>
          </w:p>
        </w:tc>
      </w:tr>
      <w:tr w:rsidR="00E4713A">
        <w:tc>
          <w:tcPr>
            <w:tcW w:w="4876" w:type="dxa"/>
          </w:tcPr>
          <w:p w:rsidR="00E4713A" w:rsidRDefault="00FF6D80">
            <w:pPr>
              <w:pStyle w:val="ConsPlusNormal0"/>
              <w:ind w:left="283"/>
            </w:pPr>
            <w:r>
              <w:t xml:space="preserve">из </w:t>
            </w:r>
            <w:hyperlink w:anchor="P3204" w:tooltip="30">
              <w:r>
                <w:rPr>
                  <w:color w:val="0000FF"/>
                </w:rPr>
                <w:t>строки 30</w:t>
              </w:r>
            </w:hyperlink>
            <w:r>
              <w:t xml:space="preserve"> - списочная численность работников, получающих бесплатно спецодежду, </w:t>
            </w:r>
            <w:proofErr w:type="spellStart"/>
            <w:r>
              <w:t>спецобувь</w:t>
            </w:r>
            <w:proofErr w:type="spellEnd"/>
            <w:r>
              <w:t xml:space="preserve"> и другие средства индивидуальной защиты, занятых на работах с вредными и (или) опасными условиями труда</w:t>
            </w:r>
          </w:p>
        </w:tc>
        <w:tc>
          <w:tcPr>
            <w:tcW w:w="567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bookmarkStart w:id="27" w:name="P3209"/>
            <w:bookmarkEnd w:id="27"/>
            <w:r>
              <w:t>31</w:t>
            </w:r>
          </w:p>
        </w:tc>
        <w:tc>
          <w:tcPr>
            <w:tcW w:w="1077" w:type="dxa"/>
            <w:vAlign w:val="center"/>
          </w:tcPr>
          <w:p w:rsidR="00E4713A" w:rsidRDefault="00E4713A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E4713A" w:rsidRDefault="00FF6D8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E4713A" w:rsidRDefault="00E4713A">
            <w:pPr>
              <w:pStyle w:val="ConsPlusNormal0"/>
            </w:pPr>
          </w:p>
        </w:tc>
      </w:tr>
    </w:tbl>
    <w:p w:rsidR="00E4713A" w:rsidRDefault="00E4713A">
      <w:pPr>
        <w:pStyle w:val="ConsPlusNormal0"/>
        <w:jc w:val="both"/>
      </w:pPr>
    </w:p>
    <w:p w:rsidR="00E4713A" w:rsidRDefault="00E4713A">
      <w:pPr>
        <w:pStyle w:val="ConsPlusNormal0"/>
        <w:sectPr w:rsidR="00E4713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  <w:gridCol w:w="1644"/>
        <w:gridCol w:w="1644"/>
        <w:gridCol w:w="1644"/>
      </w:tblGrid>
      <w:tr w:rsidR="00FF6D80" w:rsidTr="00FF6D80">
        <w:trPr>
          <w:gridAfter w:val="4"/>
          <w:wAfter w:w="6576" w:type="dxa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13A" w:rsidRDefault="00FF6D80">
            <w:pPr>
              <w:pStyle w:val="ConsPlusNormal0"/>
              <w:ind w:firstLine="283"/>
              <w:jc w:val="both"/>
            </w:pPr>
            <w:r>
              <w:lastRenderedPageBreak/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FF6D80" w:rsidTr="00FF6D8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13A" w:rsidRDefault="00FF6D80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13A" w:rsidRDefault="00FF6D80">
            <w:pPr>
              <w:pStyle w:val="ConsPlusNormal0"/>
              <w:jc w:val="center"/>
            </w:pPr>
            <w:r>
              <w:t>(Ф.И.О.)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13A" w:rsidRDefault="00FF6D80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FF6D80" w:rsidTr="00FF6D8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13A" w:rsidRDefault="00FF6D80">
            <w:pPr>
              <w:pStyle w:val="ConsPlusNormal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hyperlink w:anchor="P3236" w:tooltip="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">
              <w:r>
                <w:rPr>
                  <w:color w:val="0000FF"/>
                </w:rPr>
                <w:t>&lt;1&gt;</w:t>
              </w:r>
            </w:hyperlink>
            <w:r>
              <w:t>: ________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13A" w:rsidRDefault="00FF6D80">
            <w:pPr>
              <w:pStyle w:val="ConsPlusNormal0"/>
              <w:jc w:val="center"/>
            </w:pPr>
            <w:r>
              <w:t>"__" ______ 20__ год</w:t>
            </w:r>
          </w:p>
        </w:tc>
      </w:tr>
      <w:tr w:rsidR="00FF6D80" w:rsidTr="00FF6D80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13A" w:rsidRDefault="00FF6D80">
            <w:pPr>
              <w:pStyle w:val="ConsPlusNormal0"/>
              <w:jc w:val="center"/>
            </w:pPr>
            <w:r>
              <w:t xml:space="preserve">(номер контактного телефона </w:t>
            </w:r>
            <w:hyperlink w:anchor="P3236" w:tooltip="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E4713A">
            <w:pPr>
              <w:pStyle w:val="ConsPlusNormal0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4713A" w:rsidRDefault="00FF6D80">
            <w:pPr>
              <w:pStyle w:val="ConsPlusNormal0"/>
              <w:jc w:val="center"/>
            </w:pPr>
            <w:r>
              <w:t>(дата составления документа)</w:t>
            </w:r>
          </w:p>
        </w:tc>
      </w:tr>
    </w:tbl>
    <w:p w:rsidR="00E4713A" w:rsidRDefault="00E4713A">
      <w:pPr>
        <w:pStyle w:val="ConsPlusNormal0"/>
        <w:sectPr w:rsidR="00E4713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ind w:firstLine="540"/>
        <w:jc w:val="both"/>
      </w:pPr>
      <w:r>
        <w:t>--------------------------------</w:t>
      </w:r>
    </w:p>
    <w:p w:rsidR="00E4713A" w:rsidRDefault="00FF6D80">
      <w:pPr>
        <w:pStyle w:val="ConsPlusNormal0"/>
        <w:spacing w:before="200"/>
        <w:ind w:firstLine="540"/>
        <w:jc w:val="both"/>
      </w:pPr>
      <w:bookmarkStart w:id="28" w:name="P3236"/>
      <w:bookmarkEnd w:id="28"/>
      <w:r>
        <w:t>&lt;1</w:t>
      </w:r>
      <w:proofErr w:type="gramStart"/>
      <w:r>
        <w:t>&gt; И</w:t>
      </w:r>
      <w:proofErr w:type="gramEnd"/>
      <w:r>
        <w:t>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может осуществляться также через специального оператора.</w:t>
      </w:r>
    </w:p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jc w:val="center"/>
        <w:outlineLvl w:val="1"/>
      </w:pPr>
      <w:r>
        <w:t>Указания</w:t>
      </w:r>
    </w:p>
    <w:p w:rsidR="00E4713A" w:rsidRDefault="00FF6D80">
      <w:pPr>
        <w:pStyle w:val="ConsPlusNormal0"/>
        <w:jc w:val="center"/>
      </w:pPr>
      <w:r>
        <w:t>по заполнению формы федерального статистического наблюдения</w:t>
      </w:r>
    </w:p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ind w:firstLine="540"/>
        <w:jc w:val="both"/>
      </w:pPr>
      <w:r>
        <w:t xml:space="preserve">1. Первичные статистические данные (далее - данные)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1-Т (условия труда) "Сведения о состоянии условий труда и компенсациях за работу с вредными и (или) опасными условиями труда" (далее - форма) предоставляют юридические лица (кроме субъектов малого предпринимательства), основной вид деятельности которых относится к следующим разделам ОКВЭД</w:t>
      </w:r>
      <w:proofErr w:type="gramStart"/>
      <w:r>
        <w:t>2</w:t>
      </w:r>
      <w:proofErr w:type="gramEnd"/>
      <w:r>
        <w:t xml:space="preserve">: сельское, лесное хозяйство, охота, рыболовство и рыбоводство </w:t>
      </w:r>
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A)</w:t>
        </w:r>
      </w:hyperlink>
      <w:r>
        <w:t xml:space="preserve">; </w:t>
      </w:r>
      <w:proofErr w:type="gramStart"/>
      <w:r>
        <w:t xml:space="preserve">добыча полезных ископаемых </w:t>
      </w:r>
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B)</w:t>
        </w:r>
      </w:hyperlink>
      <w:r>
        <w:t xml:space="preserve">; обрабатывающие производства </w:t>
      </w:r>
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C)</w:t>
        </w:r>
      </w:hyperlink>
      <w:r>
        <w:t xml:space="preserve">; обеспечение электрической энергией, газом и паром; кондиционирование воздуха </w:t>
      </w:r>
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D)</w:t>
        </w:r>
      </w:hyperlink>
      <w:r>
        <w:t xml:space="preserve">; водоснабжение; водоотведение, организация сбора и утилизации отходов, деятельность по ликвидации загрязнений </w:t>
      </w:r>
      <w:hyperlink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E)</w:t>
        </w:r>
      </w:hyperlink>
      <w:r>
        <w:t>; строительство</w:t>
      </w:r>
      <w:proofErr w:type="gramEnd"/>
      <w:r>
        <w:t xml:space="preserve"> </w:t>
      </w:r>
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F)</w:t>
        </w:r>
      </w:hyperlink>
      <w:r>
        <w:t xml:space="preserve">; транспортировка и хранение </w:t>
      </w:r>
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H)</w:t>
        </w:r>
      </w:hyperlink>
      <w:r>
        <w:t xml:space="preserve">; деятельность в области информации и связи </w:t>
      </w:r>
      <w:hyperlink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 ------------ Недействующая редакция {КонсультантПлюс}">
        <w:r>
          <w:rPr>
            <w:color w:val="0000FF"/>
          </w:rPr>
          <w:t>(раздел J)</w:t>
        </w:r>
      </w:hyperlink>
      <w:r>
        <w:t>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предоставляют юридические лица всех форм собственности.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2. 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предоставляют в территориальный орган Росстата в сроки, указанные на бланке формы.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При налич</w:t>
      </w:r>
      <w:proofErr w:type="gramStart"/>
      <w:r>
        <w:t>ии у ю</w:t>
      </w:r>
      <w:proofErr w:type="gramEnd"/>
      <w:r>
        <w:t xml:space="preserve">ридического лица обособленных подразделений &lt;1&gt; 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предоставляются как по каждому обособленному подразделению, так и по юридическому лицу без этих обособленных подразделений.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27" w:tooltip="&quot;Налоговый кодекс Российской Федерации (часть первая)&quot; от 31.07.1998 N 146-ФЗ (ред. от 30.09.2024) {КонсультантПлюс}">
        <w:r>
          <w:rPr>
            <w:color w:val="0000FF"/>
          </w:rPr>
          <w:t>пункт 2 статьи 11</w:t>
        </w:r>
      </w:hyperlink>
      <w:r>
        <w:t xml:space="preserve"> Налогового кодекса Российской Федерации).</w:t>
      </w:r>
    </w:p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ind w:firstLine="540"/>
        <w:jc w:val="both"/>
      </w:pPr>
      <w:r>
        <w:t>При налич</w:t>
      </w:r>
      <w:proofErr w:type="gramStart"/>
      <w:r>
        <w:t>ии у ю</w:t>
      </w:r>
      <w:proofErr w:type="gramEnd"/>
      <w:r>
        <w:t>ридического лица обособленных подразделений, осуществляющих деятельность за пределами Российской Федерации, данные по ним не предоставляются.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предоставляют также филиалы, представительства и </w:t>
      </w:r>
      <w:proofErr w:type="gramStart"/>
      <w:r>
        <w:t>подразделения</w:t>
      </w:r>
      <w:proofErr w:type="gramEnd"/>
      <w: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предоставляются в территориальные органы Росстата по месту фактического осуществления деятельности юридического лица (обособленного подразделения).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за отчетный период в случае отсутствия наблюдаемого явления респондент должен направить подписанный в установленном порядке отчет по </w:t>
      </w:r>
      <w:hyperlink w:anchor="P3007" w:tooltip="СВЕДЕНИЯ">
        <w:r>
          <w:rPr>
            <w:color w:val="0000FF"/>
          </w:rPr>
          <w:t>форме</w:t>
        </w:r>
      </w:hyperlink>
      <w:r>
        <w:t>, не заполненный значениями показателей ("пустой" отчет по форме).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lastRenderedPageBreak/>
        <w:t xml:space="preserve">Во всех представляемых отчетах такого вида должен заполняться исключительно </w:t>
      </w:r>
      <w:hyperlink w:anchor="P3007" w:tooltip="СВЕДЕНИЯ">
        <w:r>
          <w:rPr>
            <w:color w:val="0000FF"/>
          </w:rPr>
          <w:t>титульный раздел</w:t>
        </w:r>
      </w:hyperlink>
      <w:r>
        <w:t xml:space="preserve"> формы, а в остальных разделах не должно указываться никаких значений данных, в том числе нулевых и прочерков.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Руководитель юридического лица назначает должностных лиц, уполномоченных предоставлять данные от имени юридического лица.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Организации, в отношении которых в соответствии с Федеральным </w:t>
      </w:r>
      <w:hyperlink r:id="rId28" w:tooltip="Федеральный закон от 26.10.2002 N 127-ФЗ &quot;О несостоятельности (банкротстве)&quot; (ред. от 08.08.2024, с изм. от 07.10.2024) (с изм. и доп., вступ. в силу с 08.09.2024) {КонсультантПлюс}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 (далее - Закон о банкротстве) введены процедуры, применяемые в деле о банкротстве, предоставляют данные по указанной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до завершения в соответствии со </w:t>
      </w:r>
      <w:hyperlink r:id="rId29" w:tooltip="Федеральный закон от 26.10.2002 N 127-ФЗ &quot;О несостоятельности (банкротстве)&quot; (ред. от 08.08.2024, с изм. от 07.10.2024) (с изм. и доп., вступ. в силу с 08.09.2024) {КонсультантПлюс}">
        <w:r>
          <w:rPr>
            <w:color w:val="0000FF"/>
          </w:rPr>
          <w:t>статьей 149</w:t>
        </w:r>
      </w:hyperlink>
      <w:r>
        <w:t xml:space="preserve"> Закона о банкротстве конкурсного производства и внесения в единый государственный реестр юридических лиц (ЕГРЮЛ) записи о ликвидации должника</w:t>
      </w:r>
      <w:proofErr w:type="gramEnd"/>
      <w:r>
        <w:t>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4. В </w:t>
      </w:r>
      <w:hyperlink w:anchor="P3033" w:tooltip="Наименование отчитывающейся организации ______________________________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</w:t>
      </w:r>
      <w:hyperlink w:anchor="P3007" w:tooltip="СВЕДЕНИЯ">
        <w:r>
          <w:rPr>
            <w:color w:val="0000FF"/>
          </w:rPr>
          <w:t>формы</w:t>
        </w:r>
      </w:hyperlink>
      <w:r>
        <w:t>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</w:t>
      </w:r>
      <w:hyperlink w:anchor="P3034" w:tooltip="Почтовый адрес ______________________________________________________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В </w:t>
      </w:r>
      <w:hyperlink w:anchor="P3035" w:tooltip="Код формы по ОКУД">
        <w:r>
          <w:rPr>
            <w:color w:val="0000FF"/>
          </w:rPr>
          <w:t>кодовой части</w:t>
        </w:r>
      </w:hyperlink>
      <w:r>
        <w:t xml:space="preserve"> титульного листа формы на основании Уведомления о присвоении кода ОКПО, размещенного на сайте системы сбора отчетности Росстата в информационно-телекоммуникационной сети "Интернет" по адресу: </w:t>
      </w:r>
      <w:hyperlink r:id="rId30">
        <w:r>
          <w:rPr>
            <w:color w:val="0000FF"/>
          </w:rPr>
          <w:t>https://websbor.rosstat.gov.ru/online/info</w:t>
        </w:r>
      </w:hyperlink>
      <w:r>
        <w:t>, отчитывающаяся организация проставляет: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код по Общероссийскому классификатору предприятий и организаций (ОКПО) - для юридического лица, не имеющего обособленных подразделений;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идентификационный номер - для территориально обособленного подразделения юридического лица и для головного подразделения юридического лица.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5. 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(включая данные реорганизованного юридического лица) в срок, указанный на бланке </w:t>
      </w:r>
      <w:hyperlink w:anchor="P3007" w:tooltip="СВЕДЕНИЯ">
        <w:r>
          <w:rPr>
            <w:color w:val="0000FF"/>
          </w:rPr>
          <w:t>формы</w:t>
        </w:r>
      </w:hyperlink>
      <w:r>
        <w:t>, за период с начала отчетного года, в котором произошла реорганизация.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6. 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предоставляются на основе штатного расписания, утвержденного руководителем организации, и бухгалтерской отчетности. Источником информации для предоставления данных о состоянии условий труда являются результаты специальной оценки условий труда.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Данные разделов </w:t>
      </w:r>
      <w:hyperlink w:anchor="P3007" w:tooltip="СВЕДЕНИЯ">
        <w:r>
          <w:rPr>
            <w:color w:val="0000FF"/>
          </w:rPr>
          <w:t>формы</w:t>
        </w:r>
      </w:hyperlink>
      <w:r>
        <w:t xml:space="preserve"> предоставляются по всем категориям персонала организации: рабочим, руководителям, специалистам, служащим, кроме женщин, находящихся в отпусках по беременности и родам, лиц, находящихся в отпусках в связи с усыновлением ребенка со дня рождения усыновленного ребенка, а также в отпуске по уходу за ребенком.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Если списочная численность работников (без находящихся в отпуске по беременности и родам и по уходу за ребенком) </w:t>
      </w:r>
      <w:hyperlink w:anchor="P3064" w:tooltip="01">
        <w:r>
          <w:rPr>
            <w:color w:val="0000FF"/>
          </w:rPr>
          <w:t>(строка 01 раздела 1)</w:t>
        </w:r>
      </w:hyperlink>
      <w:r>
        <w:t xml:space="preserve"> на конец отчетного года больше нуля, то респондент представляет данные по форме в установленном порядке независимо от того, имеются ли в организации работники, занятые на работах с вредными и (или) опасными условиями труда </w:t>
      </w:r>
      <w:hyperlink w:anchor="P3069" w:tooltip="02">
        <w:r>
          <w:rPr>
            <w:color w:val="0000FF"/>
          </w:rPr>
          <w:t>(строка 02 раздела 1)</w:t>
        </w:r>
      </w:hyperlink>
      <w:r>
        <w:t>.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Если списочная численность работников (без находящихся в отпуске по беременности и родам и по уходу за ребенком) </w:t>
      </w:r>
      <w:hyperlink w:anchor="P3064" w:tooltip="01">
        <w:r>
          <w:rPr>
            <w:color w:val="0000FF"/>
          </w:rPr>
          <w:t>(строка 01 раздела 1)</w:t>
        </w:r>
      </w:hyperlink>
      <w:r>
        <w:t xml:space="preserve"> на конец года равна нулю, но организация в отчетном году осуществляла компенсационные выплаты работникам, занятым на работах с вредными и (или) опасными условиями труда, то респондент предоставляет данные по форме в установленном порядке.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r>
        <w:lastRenderedPageBreak/>
        <w:t xml:space="preserve">7. Данные </w:t>
      </w:r>
      <w:hyperlink w:anchor="P3050" w:tooltip="Раздел 1. Состояние условий труда (человек)">
        <w:r>
          <w:rPr>
            <w:color w:val="0000FF"/>
          </w:rPr>
          <w:t>раздела 1</w:t>
        </w:r>
      </w:hyperlink>
      <w:r>
        <w:t xml:space="preserve"> "Состояние условий труда" заполняются на персонал организации в целом, и отдельно - на женщин и лиц моложе 18 лет.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При заполнении </w:t>
      </w:r>
      <w:hyperlink w:anchor="P3050" w:tooltip="Раздел 1. Состояние условий труда (человек)">
        <w:r>
          <w:rPr>
            <w:color w:val="0000FF"/>
          </w:rPr>
          <w:t>раздела 1</w:t>
        </w:r>
      </w:hyperlink>
      <w:r>
        <w:t xml:space="preserve"> следует руководствоваться: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Федеральным </w:t>
      </w:r>
      <w:hyperlink r:id="rId31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труда";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hyperlink r:id="rId32" w:tooltip="Постановление Правительства РФ от 31.12.2022 N 2571 (ред. от 08.06.2023) &quot;Об особенностях применения трудового законодательства Российской Федерации, иных нормативных правовых актов, содержащих нормы трудового права, на территориях Донецкой Народной Республики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2022 г. N 2571 "Об особенностях применения трудового законодательства Российской Федерации, иных нормативных правовых актов, содержащих нормы трудового права, на территориях Донецкой Народной Республики, Луганской Народной Республики, Запорожской области и Херсонской области";</w:t>
      </w:r>
    </w:p>
    <w:p w:rsidR="00E4713A" w:rsidRDefault="00FF6D80">
      <w:pPr>
        <w:pStyle w:val="ConsPlusNormal0"/>
        <w:spacing w:before="200"/>
        <w:ind w:firstLine="540"/>
        <w:jc w:val="both"/>
      </w:pPr>
      <w:hyperlink r:id="rId33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{КонсультантПлюс}">
        <w:r>
          <w:rPr>
            <w:color w:val="0000FF"/>
          </w:rPr>
          <w:t>Перечнем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утвержденным постановлением Правительства Российской Федерации от 25 февраля 2000 г. N 163;</w:t>
      </w:r>
    </w:p>
    <w:p w:rsidR="00E4713A" w:rsidRDefault="00FF6D80">
      <w:pPr>
        <w:pStyle w:val="ConsPlusNormal0"/>
        <w:spacing w:before="200"/>
        <w:ind w:firstLine="540"/>
        <w:jc w:val="both"/>
      </w:pPr>
      <w:hyperlink r:id="rId34" w:tooltip="Приказ Минтруда России от 18.07.2019 N 512н (ред. от 13.05.2021) &quot;Об утверждении перечня производств, работ и должностей с вредными и (или) опасными условиями труда, на которых ограничивается применение труда женщин&quot; (Зарегистрировано в Минюсте России 14.08.20">
        <w:r>
          <w:rPr>
            <w:color w:val="0000FF"/>
          </w:rPr>
          <w:t>Перечнем</w:t>
        </w:r>
      </w:hyperlink>
      <w:r>
        <w:t xml:space="preserve"> производств, работ и должностей с вредными и (или) опасными условиями труда, на которых ограничивается применение труда женщин, утвержденным приказом Минтруда России от 18 июля 2019 г. N 512н (зарегистрирован Минюстом России 14 августа 2019 г., регистрационный N 55594);</w:t>
      </w:r>
    </w:p>
    <w:p w:rsidR="00E4713A" w:rsidRDefault="00FF6D80">
      <w:pPr>
        <w:pStyle w:val="ConsPlusNormal0"/>
        <w:spacing w:before="200"/>
        <w:ind w:firstLine="540"/>
        <w:jc w:val="both"/>
      </w:pPr>
      <w:hyperlink r:id="rId35" w:tooltip="Приказ Минтруда России от 24.01.2014 N 33н (ред. от 27.04.2020)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">
        <w:r>
          <w:rPr>
            <w:color w:val="0000FF"/>
          </w:rPr>
          <w:t>приказом</w:t>
        </w:r>
      </w:hyperlink>
      <w:r>
        <w:t xml:space="preserve"> Минтруда России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 г., регистрационный N 31689). </w:t>
      </w:r>
      <w:proofErr w:type="gramStart"/>
      <w:r>
        <w:t>При этом следует иметь в виду, что приказ Минтруда России от 24 января 2014 г. N 33н действовал до 1 сентября 2024 г., а с 1 сентября 2024 г. вступил в силу приказ Минтруда России от 21 ноября 2023 г. N 817н (зарегистрирован Минюстом России 30 ноября 2023 г., регистрационный N 76179).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По </w:t>
      </w:r>
      <w:hyperlink w:anchor="P3069" w:tooltip="02">
        <w:r>
          <w:rPr>
            <w:color w:val="0000FF"/>
          </w:rPr>
          <w:t>строке 02</w:t>
        </w:r>
      </w:hyperlink>
      <w:r>
        <w:t xml:space="preserve"> показываются данные о численности работников, рабочие места которых по результатам специальной оценки условий труда отнесены к вредным (3 класс - подклассы 3.1, 3.2, 3.3, 3.4) и (или) опасным (4 класс) условиям труда, при этом каждый работающий учитывается только один раз независимо от количества действующих на него вредных и опасных производственных факторов.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строкам с </w:t>
      </w:r>
      <w:hyperlink w:anchor="P3076" w:tooltip="03">
        <w:r>
          <w:rPr>
            <w:color w:val="0000FF"/>
          </w:rPr>
          <w:t>03</w:t>
        </w:r>
      </w:hyperlink>
      <w:r>
        <w:t xml:space="preserve"> по </w:t>
      </w:r>
      <w:hyperlink w:anchor="P3127" w:tooltip="13">
        <w:r>
          <w:rPr>
            <w:color w:val="0000FF"/>
          </w:rPr>
          <w:t>13</w:t>
        </w:r>
      </w:hyperlink>
      <w:r>
        <w:t xml:space="preserve"> показываются данные о численности работников, рабочие места которых по результатам специальной оценки условий труда отнесены к вредным и (или) опасным условиям труда по конкретному фактору производственной среды и трудового процесса. Один и тот же работник, условия труда которого отнесены к вредным и (или) опасным условиям труда по нескольким факторам, учитывается по всем этим факторам.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При заполнении данных по </w:t>
      </w:r>
      <w:hyperlink w:anchor="P3122" w:tooltip="12">
        <w:r>
          <w:rPr>
            <w:color w:val="0000FF"/>
          </w:rPr>
          <w:t>строке 12</w:t>
        </w:r>
      </w:hyperlink>
      <w:r>
        <w:t xml:space="preserve"> учитываются только вредные и (или) опасные условия труда по показателю тяжести трудового процесса. Тяжесть трудового процесса - показатели физической нагрузки на опорно-двигательный аппарат и на функциональные системы организма работника.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При заполнении данных по </w:t>
      </w:r>
      <w:hyperlink w:anchor="P3127" w:tooltip="13">
        <w:r>
          <w:rPr>
            <w:color w:val="0000FF"/>
          </w:rPr>
          <w:t>строке 13</w:t>
        </w:r>
      </w:hyperlink>
      <w:r>
        <w:t xml:space="preserve"> учитываются только вредные и (или) опасные условия труда по показателю напряженности трудового процесса. Напряженность трудового процесса - показатели сенсорной нагрузки на центральную нервную систему и органы чувств работника.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Данные о работниках, занятых на работах с вредными и (или) опасными условиями труда, включаются в </w:t>
      </w:r>
      <w:hyperlink w:anchor="P3050" w:tooltip="Раздел 1. Состояние условий труда (человек)">
        <w:r>
          <w:rPr>
            <w:color w:val="0000FF"/>
          </w:rPr>
          <w:t>раздел 1</w:t>
        </w:r>
      </w:hyperlink>
      <w:r>
        <w:t xml:space="preserve"> "Состояние условий труда" независимо от того, получают эти работники гарантии и компенсации за работу в особых условиях труда или нет.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Данные </w:t>
      </w:r>
      <w:hyperlink w:anchor="P3132" w:tooltip="Раздел 2. Гарантии и компенсации, предоставляемые">
        <w:r>
          <w:rPr>
            <w:color w:val="0000FF"/>
          </w:rPr>
          <w:t>раздела 2</w:t>
        </w:r>
      </w:hyperlink>
      <w:r>
        <w:t xml:space="preserve"> "Гарантии и компенсации, предоставляемые работникам, занятым на работах с вредными и (или) опасными условиями труда" (кроме </w:t>
      </w:r>
      <w:hyperlink w:anchor="P3204" w:tooltip="30">
        <w:r>
          <w:rPr>
            <w:color w:val="0000FF"/>
          </w:rPr>
          <w:t>строки 30</w:t>
        </w:r>
      </w:hyperlink>
      <w:r>
        <w:t>) заполняются в отношении работников, занятых на работах с вредными (3 класс - подклассы 3.1, 3.2, 3.3, 3.4) и (или) опасными (4 класс) условиями труда, имеющих право на получение гарантий и компенсаций, и отдельно по женщинам.</w:t>
      </w:r>
      <w:proofErr w:type="gramEnd"/>
      <w:r>
        <w:t xml:space="preserve"> </w:t>
      </w:r>
      <w:proofErr w:type="gramStart"/>
      <w:r>
        <w:t>Численность работников, имеющих гарантии и компенсации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за работу в особых климатических условиях (районы Крайнего Севера и приравненные к ним местности) и на территориях, подвергшихся</w:t>
      </w:r>
      <w:proofErr w:type="gramEnd"/>
      <w:r>
        <w:t xml:space="preserve"> радиоактивному загрязнению, в </w:t>
      </w:r>
      <w:r>
        <w:lastRenderedPageBreak/>
        <w:t xml:space="preserve">данные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не включается.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>Предоставление данных о численности работников, имеющих право на ежегодный дополнительный оплачиваемый отпуск, сокращенную продолжительность рабочего времени и оплату труда в повышенном размере (</w:t>
      </w:r>
      <w:hyperlink w:anchor="P3153" w:tooltip="20">
        <w:r>
          <w:rPr>
            <w:color w:val="0000FF"/>
          </w:rPr>
          <w:t>строки 20</w:t>
        </w:r>
      </w:hyperlink>
      <w:r>
        <w:t xml:space="preserve">, </w:t>
      </w:r>
      <w:hyperlink w:anchor="P3158" w:tooltip="21">
        <w:r>
          <w:rPr>
            <w:color w:val="0000FF"/>
          </w:rPr>
          <w:t>21</w:t>
        </w:r>
      </w:hyperlink>
      <w:r>
        <w:t xml:space="preserve">, </w:t>
      </w:r>
      <w:hyperlink w:anchor="P3173" w:tooltip="24">
        <w:r>
          <w:rPr>
            <w:color w:val="0000FF"/>
          </w:rPr>
          <w:t>24</w:t>
        </w:r>
      </w:hyperlink>
      <w:r>
        <w:t xml:space="preserve">), осуществляется в соответствии со </w:t>
      </w:r>
      <w:hyperlink r:id="rId36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статьями 92</w:t>
        </w:r>
      </w:hyperlink>
      <w:r>
        <w:t xml:space="preserve">, </w:t>
      </w:r>
      <w:hyperlink r:id="rId37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94</w:t>
        </w:r>
      </w:hyperlink>
      <w:r>
        <w:t xml:space="preserve">, </w:t>
      </w:r>
      <w:hyperlink r:id="rId38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117</w:t>
        </w:r>
      </w:hyperlink>
      <w:r>
        <w:t xml:space="preserve">, </w:t>
      </w:r>
      <w:hyperlink r:id="rId39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147</w:t>
        </w:r>
      </w:hyperlink>
      <w:r>
        <w:t xml:space="preserve"> Трудового кодекса Российской Федерации, а также на основании отраслевого (межотраслевого) соглашения и коллективных договоров.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</w:t>
      </w:r>
      <w:hyperlink w:anchor="P3153" w:tooltip="20">
        <w:r>
          <w:rPr>
            <w:color w:val="0000FF"/>
          </w:rPr>
          <w:t>строке 20</w:t>
        </w:r>
      </w:hyperlink>
      <w:r>
        <w:t xml:space="preserve"> показываются данные о численности работников, у которых сумма основного отпуска и дополнительного за работу с вредными и (или) опасными условиями труда превышает 28 календарных дней.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По </w:t>
      </w:r>
      <w:hyperlink w:anchor="P3163" w:tooltip="22">
        <w:r>
          <w:rPr>
            <w:color w:val="0000FF"/>
          </w:rPr>
          <w:t>строке 22</w:t>
        </w:r>
      </w:hyperlink>
      <w:r>
        <w:t xml:space="preserve"> показываются данные о численности работников, имеющих право на бесплатное лечебно-профилактическое питание, которая устанавливается в соответствии с </w:t>
      </w:r>
      <w:hyperlink r:id="rId40" w:tooltip="Приказ Минтруда России от 16.05.2022 N 298н (ред. от 19.03.2024) &quot;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">
        <w:r>
          <w:rPr>
            <w:color w:val="0000FF"/>
          </w:rPr>
          <w:t>приказом</w:t>
        </w:r>
      </w:hyperlink>
      <w:r>
        <w:t xml:space="preserve"> Минтруда России от 16 мая 2022 г. N 298н "Об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</w:t>
      </w:r>
      <w:proofErr w:type="gramEnd"/>
      <w:r>
        <w:t>" (</w:t>
      </w:r>
      <w:proofErr w:type="gramStart"/>
      <w:r>
        <w:t>зарегистрирован</w:t>
      </w:r>
      <w:proofErr w:type="gramEnd"/>
      <w:r>
        <w:t xml:space="preserve"> Минюстом России 30 мая 2022 г., регистрационный N 68627).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По </w:t>
      </w:r>
      <w:hyperlink w:anchor="P3168" w:tooltip="23">
        <w:r>
          <w:rPr>
            <w:color w:val="0000FF"/>
          </w:rPr>
          <w:t>строке 23</w:t>
        </w:r>
      </w:hyperlink>
      <w:r>
        <w:t xml:space="preserve"> показываются данные о численности работников, имеющих право на бесплатное получение молока или других равноценных пищевых продуктов, которая определяется в соответствии с </w:t>
      </w:r>
      <w:hyperlink r:id="rId41" w:tooltip="Приказ Минтруда России от 12.05.2022 N 291н &quot;Об утверждении перечня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">
        <w:r>
          <w:rPr>
            <w:color w:val="0000FF"/>
          </w:rPr>
          <w:t>приказом</w:t>
        </w:r>
      </w:hyperlink>
      <w:r>
        <w:t xml:space="preserve"> Минтруда России от 12 мая 2022 г. N 291н "Об утверждении перечня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</w:t>
      </w:r>
      <w:proofErr w:type="gramEnd"/>
      <w:r>
        <w:t xml:space="preserve"> </w:t>
      </w:r>
      <w:proofErr w:type="gramStart"/>
      <w:r>
        <w:t>рабочих местах работникам выдаются бесплатно 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продуктов" (зарегистрирован Минюстом России 30 мая 2022 г., регистрационный N 68624).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</w:t>
      </w:r>
      <w:hyperlink w:anchor="P3173" w:tooltip="24">
        <w:r>
          <w:rPr>
            <w:color w:val="0000FF"/>
          </w:rPr>
          <w:t>строке 24</w:t>
        </w:r>
      </w:hyperlink>
      <w:r>
        <w:t xml:space="preserve"> показываются данные о численности работников, имеющих право на оплату труда в повышенном размере за работу с вредными и (или) опасными условиями труда, которая определяется организацией в результате проведения специальной оценки условий труда на основании </w:t>
      </w:r>
      <w:hyperlink r:id="rId42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статьи 147</w:t>
        </w:r>
      </w:hyperlink>
      <w:r>
        <w:t xml:space="preserve"> Трудового кодекса Российской Федерации.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</w:t>
      </w:r>
      <w:hyperlink w:anchor="P3178" w:tooltip="25">
        <w:r>
          <w:rPr>
            <w:color w:val="0000FF"/>
          </w:rPr>
          <w:t>строке 25</w:t>
        </w:r>
      </w:hyperlink>
      <w:r>
        <w:t xml:space="preserve"> показываются данные о численности работников, подлежащих медицинским осмотрам в соответствии со </w:t>
      </w:r>
      <w:hyperlink r:id="rId43" w:tooltip="&quot;Трудовой кодекс Российской Федерации&quot; от 30.12.2001 N 197-ФЗ (ред. от 08.08.2024, с изм. от 22.11.2024) {КонсультантПлюс}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Федерации. В эту численность включаются работники, занятые на работах с вредными и (или) опасными условиями труда, имеющие право на проведение медицинских осмотров, независимо от того, когда работник прошел медосмотр.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заполнении данной </w:t>
      </w:r>
      <w:hyperlink w:anchor="P3178" w:tooltip="25">
        <w:r>
          <w:rPr>
            <w:color w:val="0000FF"/>
          </w:rPr>
          <w:t>строки</w:t>
        </w:r>
      </w:hyperlink>
      <w:r>
        <w:t xml:space="preserve"> следует руководствоваться </w:t>
      </w:r>
      <w:hyperlink r:id="rId44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">
        <w:r>
          <w:rPr>
            <w:color w:val="0000FF"/>
          </w:rPr>
          <w:t>перечнем</w:t>
        </w:r>
      </w:hyperlink>
      <w:r>
        <w:t>, утвержденным приказом Минтруда России и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 и</w:t>
      </w:r>
      <w:proofErr w:type="gramEnd"/>
      <w:r>
        <w:t xml:space="preserve"> </w:t>
      </w:r>
      <w:hyperlink r:id="rId45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proofErr w:type="gramStart"/>
        <w:r>
          <w:rPr>
            <w:color w:val="0000FF"/>
          </w:rPr>
          <w:t>приказом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</w:t>
      </w:r>
      <w:proofErr w:type="gramEnd"/>
      <w:r>
        <w:t xml:space="preserve"> января 2021 г., </w:t>
      </w:r>
      <w:proofErr w:type="gramStart"/>
      <w:r>
        <w:t>регистрационный</w:t>
      </w:r>
      <w:proofErr w:type="gramEnd"/>
      <w:r>
        <w:t xml:space="preserve"> N 62277).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строкам с </w:t>
      </w:r>
      <w:hyperlink w:anchor="P3184" w:tooltip="26">
        <w:r>
          <w:rPr>
            <w:color w:val="0000FF"/>
          </w:rPr>
          <w:t>26</w:t>
        </w:r>
      </w:hyperlink>
      <w:r>
        <w:t xml:space="preserve"> по </w:t>
      </w:r>
      <w:hyperlink w:anchor="P3194" w:tooltip="28">
        <w:r>
          <w:rPr>
            <w:color w:val="0000FF"/>
          </w:rPr>
          <w:t>28</w:t>
        </w:r>
      </w:hyperlink>
      <w:r>
        <w:t xml:space="preserve"> показываются данные о численности работников, которым сохранено право на досрочное назначение страховой пенсии по старости за работу с тяжелыми и вредными условиями труда, в соответствии со </w:t>
      </w:r>
      <w:hyperlink r:id="rId46" w:tooltip="Федеральный закон от 28.12.2013 N 400-ФЗ (ред. от 29.05.2024) &quot;О страховых пенсиях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от 28 декабря 2013 г. N 400-ФЗ "О страховых пенсиях". В эту численность включаются также лица, уже воспользовавшиеся правом досрочного назначения страховой пенсии по старости и продолжающие работать на этих же рабочих местах.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47" w:tooltip="Постановление Правительства РФ от 16.07.2014 N 665 (ред. от 05.04.2024) &quot;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2014 г. N 665 "О списках работ, производств, профессий, должностей, специальностей и учреждений (организаций), с </w:t>
      </w:r>
      <w:r>
        <w:lastRenderedPageBreak/>
        <w:t>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действуют: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работникам, занятым на подземных работах, на работах с вредными условиями труда и в горячих цехах, - </w:t>
      </w:r>
      <w:hyperlink r:id="rId48" w:tooltip="Постановление Кабинета Министров СССР от 26.01.1991 N 10 (ред. от 02.10.1991) &quot;Об утверждении Списков производств, работ, профессий, должностей и показателей, дающих право на льготное пенсионное обеспечение&quot; {КонсультантПлюс}">
        <w:r>
          <w:rPr>
            <w:color w:val="0000FF"/>
          </w:rPr>
          <w:t>Список N 1</w:t>
        </w:r>
      </w:hyperlink>
      <w:r>
        <w:t xml:space="preserve">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(по старости) на льготных условиях, утвержденный постановлением</w:t>
      </w:r>
      <w:proofErr w:type="gramEnd"/>
      <w:r>
        <w:t xml:space="preserve"> Кабинета Министров СССР от 26 января 1991 г. N 10;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работникам, занятым на работах с тяжелыми условиями труда, - </w:t>
      </w:r>
      <w:hyperlink r:id="rId49" w:tooltip="Постановление Кабинета Министров СССР от 26.01.1991 N 10 (ред. от 02.10.1991) &quot;Об утверждении Списков производств, работ, профессий, должностей и показателей, дающих право на льготное пенсионное обеспечение&quot; {КонсультантПлюс}">
        <w:r>
          <w:rPr>
            <w:color w:val="0000FF"/>
          </w:rPr>
          <w:t>Список N 2</w:t>
        </w:r>
      </w:hyperlink>
      <w:r>
        <w:t xml:space="preserve"> производств, работ, профессий, должностей и показателей с вредными и тяжелыми условиями труда, занятость в которых дает право на пенсию по возрасту (по старости) на льготных условиях, утвержденный постановлением Кабинета Министров СССР от 26 января 1991 г. N 10;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женщинам, занятым в текстильной промышленности на работах с повышенной интенсивностью и тяжестью, - </w:t>
      </w:r>
      <w:hyperlink r:id="rId50" w:tooltip="Постановление Правительства РФ от 01.03.1992 N 130 &quot;Об утверждении Списка производств и профессий текстильной промышленности, работа в которых дает женщинам право на пенсию по возрасту по достижении 50 лет и при стаже работы в этих производствах и профессиях н">
        <w:r>
          <w:rPr>
            <w:color w:val="0000FF"/>
          </w:rPr>
          <w:t>Список</w:t>
        </w:r>
      </w:hyperlink>
      <w:r>
        <w:t xml:space="preserve"> производств и профессий текстильной промышленности, работа в которых дает женщинам право на пенсию по возрасту по достижении 50 лет и при стаже работы в этих производствах и профессиях не менее 20 лет, утвержденный постановлением Правительства Российской Федерации от 1 марта</w:t>
      </w:r>
      <w:proofErr w:type="gramEnd"/>
      <w:r>
        <w:t xml:space="preserve"> 1992 г. N 130;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работникам, занятым в качестве рабочих локомотивных бригад, и работникам отдельных категорий, непосредственно осуществляющим организацию перевозок и обеспечивающим безопасность движения на железнодорожном транспорте и метрополитене, - </w:t>
      </w:r>
      <w:hyperlink r:id="rId51" w:tooltip="Постановление Правительства РФ от 24.04.1992 N 272 &quot;Об утверждении Списка профессий рабочих локомотивных бригад, а также профессий и должностей работников отдельных категорий на железнодорожном транспорте и метрополитене, пользующихся правом на пенсию в связи ">
        <w:r>
          <w:rPr>
            <w:color w:val="0000FF"/>
          </w:rPr>
          <w:t>Список</w:t>
        </w:r>
      </w:hyperlink>
      <w:r>
        <w:t xml:space="preserve"> профессий рабочих локомотивных бригад, а также профессий и должностей работников отдельных категорий, непосредственно осуществляющих организацию перевозок и обеспечивающих безопасность движения на железнодорожном транспорте и метрополитене, пользующихся правом на</w:t>
      </w:r>
      <w:proofErr w:type="gramEnd"/>
      <w:r>
        <w:t xml:space="preserve"> пенсионное обеспечение в соответствии с пунктом "д" статьи 12 Закона РСФСР "О государственных пенсия</w:t>
      </w:r>
      <w:proofErr w:type="gramStart"/>
      <w:r>
        <w:t>х в РСФСР</w:t>
      </w:r>
      <w:proofErr w:type="gramEnd"/>
      <w:r>
        <w:t>", утвержденный постановлением Правительства Российской Федерации от 24 апреля 1992 г. N 272;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работникам, непосредственно занятым полный рабочий день на подземных и открытых горных работах (включая личный состав горноспасательных частей) по добыче угля, сланца, руды и других полезных ископаемых и на строительстве шахт и рудников, - </w:t>
      </w:r>
      <w:hyperlink r:id="rId52" w:tooltip="Постановление Совмина РСФСР от 13.09.1991 N 481 &quot;Об утверждении списка работ и профессий, дающих право на пенсию за выслугу лет независимо от возраста при занятости на указанных работах не менее 25 лет&quot; {КонсультантПлюс}">
        <w:r>
          <w:rPr>
            <w:color w:val="0000FF"/>
          </w:rPr>
          <w:t>список</w:t>
        </w:r>
      </w:hyperlink>
      <w:r>
        <w:t xml:space="preserve"> работ и профессий, дающих право на пенсию независимо от возраста при занятости на этих работах не менее 25 лет, утвержденный</w:t>
      </w:r>
      <w:proofErr w:type="gramEnd"/>
      <w:r>
        <w:t xml:space="preserve"> постановлением Совета Министров РСФСР от 13 сентября 1991 г. N 481;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работникам, занятым на отдельных видах судов морского, речного флота и флота рыбной промышленности, - </w:t>
      </w:r>
      <w:hyperlink r:id="rId53" w:tooltip="Постановление Правительства РФ от 07.07.1992 N 467 &quot;Об утверждении Списка работ (профессий и должностей), с учетом которых назначается пенсия за выслугу лет рабочим и специалистам, работающим на отдельных видах судов морского, речного флота и флота рыбной пром">
        <w:r>
          <w:rPr>
            <w:color w:val="0000FF"/>
          </w:rPr>
          <w:t>Список</w:t>
        </w:r>
      </w:hyperlink>
      <w:r>
        <w:t xml:space="preserve"> работ (профессий и должностей), с учетом которых назначается пенсия за выслугу лет рабочим и специалистам, работающим на отдельных видах судов морского, речного флота и флота рыбной промышленности, утвержденный постановлением Правительства Российской Федерации от 7 июля 1992 г. N 467;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работникам, занятым в летном составе гражданской авиации, - </w:t>
      </w:r>
      <w:hyperlink r:id="rId54" w:tooltip="Постановление Совмина РСФСР от 04.09.1991 N 459 &quot;Об утверждении Списков должностей работников летного и инженерно-технического состава авиации, работа в которых дает право на пенсию за выслугу лет, и правил исчисления сроков выслуги лет для назначения пенсий р">
        <w:r>
          <w:rPr>
            <w:color w:val="0000FF"/>
          </w:rPr>
          <w:t>Список</w:t>
        </w:r>
      </w:hyperlink>
      <w:r>
        <w:t xml:space="preserve"> должностей работников летного состава, работа в которых дает право на пенсию за выслугу лет по правилам статьи 79 Закона РСФСР "О государственных пенсиях в РСФСР", утвержденный постановлением Совета Министров РСФСР от 4 сентября 1991 г. N 459;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при досрочном назначении страховой пенсии по старости работникам инженерно-технического состава, занятым на работах по непосредственному обслуживанию воздушных судов гражданской авиации, - </w:t>
      </w:r>
      <w:hyperlink r:id="rId55" w:tooltip="Постановление Совмина РСФСР от 04.09.1991 N 459 &quot;Об утверждении Списков должностей работников летного и инженерно-технического состава авиации, работа в которых дает право на пенсию за выслугу лет, и правил исчисления сроков выслуги лет для назначения пенсий р">
        <w:r>
          <w:rPr>
            <w:color w:val="0000FF"/>
          </w:rPr>
          <w:t>Список</w:t>
        </w:r>
      </w:hyperlink>
      <w:r>
        <w:t xml:space="preserve"> должностей инженерно-технического состава авиации, работа в которых дает право на пенсию за выслугу лет по правилам статьи 79 Закона РСФСР "О государственных пенсиях в РСФСР", утвержденный постановлением Совета Министров РСФСР от 4 сентября 1991 г. N 459.</w:t>
      </w:r>
      <w:proofErr w:type="gramEnd"/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При заполнении строк с </w:t>
      </w:r>
      <w:hyperlink w:anchor="P3184" w:tooltip="26">
        <w:r>
          <w:rPr>
            <w:color w:val="0000FF"/>
          </w:rPr>
          <w:t>26</w:t>
        </w:r>
      </w:hyperlink>
      <w:r>
        <w:t xml:space="preserve"> по </w:t>
      </w:r>
      <w:hyperlink w:anchor="P3194" w:tooltip="28">
        <w:r>
          <w:rPr>
            <w:color w:val="0000FF"/>
          </w:rPr>
          <w:t>28</w:t>
        </w:r>
      </w:hyperlink>
      <w:r>
        <w:t xml:space="preserve"> данные о каждом работнике учитываются только один раз независимо от возможности назначения досрочной страховой пенсии по старости по нескольким основаниям.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</w:t>
      </w:r>
      <w:hyperlink w:anchor="P3194" w:tooltip="28">
        <w:r>
          <w:rPr>
            <w:color w:val="0000FF"/>
          </w:rPr>
          <w:t>строке 28</w:t>
        </w:r>
      </w:hyperlink>
      <w:r>
        <w:t xml:space="preserve"> при заполнении данных о численности работников, имеющих право на досрочное назначение страховой пенсии по старости в связи с особыми условиями труда, показываются также </w:t>
      </w:r>
      <w:r>
        <w:lastRenderedPageBreak/>
        <w:t>работники, которым назначены прочие страховые пенсии по старости за тяжелые и вредные условия труда.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По </w:t>
      </w:r>
      <w:hyperlink w:anchor="P3199" w:tooltip="29">
        <w:r>
          <w:rPr>
            <w:color w:val="0000FF"/>
          </w:rPr>
          <w:t>строке 29</w:t>
        </w:r>
      </w:hyperlink>
      <w:r>
        <w:t xml:space="preserve"> при заполнении показателя "Списочная численность работников, занятых на работах с вредными и (или) опасными условиями труда, которым установлен хотя бы один вид гарантий и компенсаций" каждый работник учитывается только один раз независимо от того, имел ли он право на один или несколько видов компенсаций.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В </w:t>
      </w:r>
      <w:hyperlink w:anchor="P3204" w:tooltip="30">
        <w:r>
          <w:rPr>
            <w:color w:val="0000FF"/>
          </w:rPr>
          <w:t>строке 30</w:t>
        </w:r>
      </w:hyperlink>
      <w:r>
        <w:t xml:space="preserve"> отражаются данные о численности работников, получающих бесплатно хотя бы один из видов средств индивидуальной защиты, из нее по </w:t>
      </w:r>
      <w:hyperlink w:anchor="P3209" w:tooltip="31">
        <w:r>
          <w:rPr>
            <w:color w:val="0000FF"/>
          </w:rPr>
          <w:t>строке 31</w:t>
        </w:r>
      </w:hyperlink>
      <w:r>
        <w:t xml:space="preserve"> показывается численность работников, получающих бесплатно спецодежду, </w:t>
      </w:r>
      <w:proofErr w:type="spellStart"/>
      <w:r>
        <w:t>спецобувь</w:t>
      </w:r>
      <w:proofErr w:type="spellEnd"/>
      <w:r>
        <w:t xml:space="preserve"> и другие индивидуальные средства защиты, занятых на работах с вредными и (или) опасными условиями труда, в соответствии с требованиями </w:t>
      </w:r>
      <w:hyperlink r:id="rId56" w:tooltip="Приказ Минтруда России от 29.10.2021 N 766н &quot;Об утверждении Правил обеспечения работников средствами индивидуальной защиты и смывающими средствами&quot; (Зарегистрировано в Минюсте России 29.12.2021 N 66670) {КонсультантПлюс}">
        <w:r>
          <w:rPr>
            <w:color w:val="0000FF"/>
          </w:rPr>
          <w:t>Правил</w:t>
        </w:r>
      </w:hyperlink>
      <w:r>
        <w:t xml:space="preserve"> обеспечения работников средствами индивидуальной защиты и смывающими средствами, утвержденных приказом</w:t>
      </w:r>
      <w:proofErr w:type="gramEnd"/>
      <w:r>
        <w:t xml:space="preserve"> Минтруда России от 29 октября 2021 г. N 766н (зарегистрирован Минюстом России 29 декабря 2021 г., регистрационный N 66670), а также применяемых у конкретного работодателя Типовыми (отраслевыми) нормами бесплатной выдачи специальной одежды, специальной обуви и других средств индивидуальной защиты, утвержденными в установленном порядке.</w:t>
      </w:r>
    </w:p>
    <w:p w:rsidR="00E4713A" w:rsidRDefault="00FF6D80">
      <w:pPr>
        <w:pStyle w:val="ConsPlusNormal0"/>
        <w:spacing w:before="200"/>
        <w:ind w:firstLine="540"/>
        <w:jc w:val="both"/>
      </w:pPr>
      <w:proofErr w:type="gramStart"/>
      <w:r>
        <w:t xml:space="preserve">В </w:t>
      </w:r>
      <w:hyperlink w:anchor="P3146" w:tooltip="5">
        <w:r>
          <w:rPr>
            <w:color w:val="0000FF"/>
          </w:rPr>
          <w:t>графе 5</w:t>
        </w:r>
      </w:hyperlink>
      <w:r>
        <w:t xml:space="preserve"> "Фактические расходы на гарантии, компенсации и средства индивидуальной защиты в отчетном году" (по данным бухгалтерской отчетности) показываются фактические суммы расходов организации без НДС за отчетный год на: оплату дополнительных отпусков в связи с вредными и (или) опасными и иными особыми условиями труда </w:t>
      </w:r>
      <w:hyperlink w:anchor="P3153" w:tooltip="20">
        <w:r>
          <w:rPr>
            <w:color w:val="0000FF"/>
          </w:rPr>
          <w:t>(строка 20)</w:t>
        </w:r>
      </w:hyperlink>
      <w:r>
        <w:t xml:space="preserve">; бесплатное лечебно-профилактическое питание </w:t>
      </w:r>
      <w:hyperlink w:anchor="P3163" w:tooltip="22">
        <w:r>
          <w:rPr>
            <w:color w:val="0000FF"/>
          </w:rPr>
          <w:t>(строка 22)</w:t>
        </w:r>
      </w:hyperlink>
      <w:r>
        <w:t>;</w:t>
      </w:r>
      <w:proofErr w:type="gramEnd"/>
      <w:r>
        <w:t xml:space="preserve"> бесплатное получение молока или других равноценных пищевых продуктов </w:t>
      </w:r>
      <w:hyperlink w:anchor="P3168" w:tooltip="23">
        <w:r>
          <w:rPr>
            <w:color w:val="0000FF"/>
          </w:rPr>
          <w:t>(строка 23)</w:t>
        </w:r>
      </w:hyperlink>
      <w:r>
        <w:t xml:space="preserve">; оплату труда в повышенном размере </w:t>
      </w:r>
      <w:hyperlink w:anchor="P3173" w:tooltip="24">
        <w:r>
          <w:rPr>
            <w:color w:val="0000FF"/>
          </w:rPr>
          <w:t>(строка 24)</w:t>
        </w:r>
      </w:hyperlink>
      <w:r>
        <w:t xml:space="preserve">; проведение медицинских осмотров </w:t>
      </w:r>
      <w:hyperlink w:anchor="P3178" w:tooltip="25">
        <w:r>
          <w:rPr>
            <w:color w:val="0000FF"/>
          </w:rPr>
          <w:t>(строка 25)</w:t>
        </w:r>
      </w:hyperlink>
      <w:r>
        <w:t>; спецодежду и другие средства индивидуальной защиты (</w:t>
      </w:r>
      <w:hyperlink w:anchor="P3204" w:tooltip="30">
        <w:r>
          <w:rPr>
            <w:color w:val="0000FF"/>
          </w:rPr>
          <w:t>строки 30</w:t>
        </w:r>
      </w:hyperlink>
      <w:r>
        <w:t xml:space="preserve"> и </w:t>
      </w:r>
      <w:hyperlink w:anchor="P3209" w:tooltip="31">
        <w:r>
          <w:rPr>
            <w:color w:val="0000FF"/>
          </w:rPr>
          <w:t>31</w:t>
        </w:r>
      </w:hyperlink>
      <w:r>
        <w:t>).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Данные по показателям в </w:t>
      </w:r>
      <w:hyperlink w:anchor="P3146" w:tooltip="5">
        <w:r>
          <w:rPr>
            <w:color w:val="0000FF"/>
          </w:rPr>
          <w:t>графе 5</w:t>
        </w:r>
      </w:hyperlink>
      <w:r>
        <w:t xml:space="preserve"> приводятся в </w:t>
      </w:r>
      <w:proofErr w:type="gramStart"/>
      <w:r>
        <w:t>тысячах рублей</w:t>
      </w:r>
      <w:proofErr w:type="gramEnd"/>
      <w:r>
        <w:t xml:space="preserve"> с одним десятичным знаком и не могут иметь отрицательного значения.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Фактические выплаты показываются в целом за отчетный год, а данные о списочной численности работников </w:t>
      </w:r>
      <w:hyperlink w:anchor="P3144" w:tooltip="3">
        <w:r>
          <w:rPr>
            <w:color w:val="0000FF"/>
          </w:rPr>
          <w:t>(графа 3 раздела 2)</w:t>
        </w:r>
      </w:hyperlink>
      <w:r>
        <w:t xml:space="preserve"> - по состоянию на конец отчетного года. В случае</w:t>
      </w:r>
      <w:proofErr w:type="gramStart"/>
      <w:r>
        <w:t>,</w:t>
      </w:r>
      <w:proofErr w:type="gramEnd"/>
      <w:r>
        <w:t xml:space="preserve"> если работники в течение года получали компенсационные выплаты и уволены на отчетную дату, данные </w:t>
      </w:r>
      <w:hyperlink w:anchor="P3144" w:tooltip="3">
        <w:r>
          <w:rPr>
            <w:color w:val="0000FF"/>
          </w:rPr>
          <w:t>графы 3</w:t>
        </w:r>
      </w:hyperlink>
      <w:r>
        <w:t xml:space="preserve"> могут быть не заполнены и, наоборот, при наличии данных в </w:t>
      </w:r>
      <w:hyperlink w:anchor="P3144" w:tooltip="3">
        <w:r>
          <w:rPr>
            <w:color w:val="0000FF"/>
          </w:rPr>
          <w:t>графе 3</w:t>
        </w:r>
      </w:hyperlink>
      <w:r>
        <w:t xml:space="preserve"> могут отсутствовать данные в </w:t>
      </w:r>
      <w:hyperlink w:anchor="P3146" w:tooltip="5">
        <w:r>
          <w:rPr>
            <w:color w:val="0000FF"/>
          </w:rPr>
          <w:t>графе 5</w:t>
        </w:r>
      </w:hyperlink>
      <w:r>
        <w:t xml:space="preserve"> по соответствующим строкам (из-за отсутствия средств на оплату компенсаций).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В графу 5 по </w:t>
      </w:r>
      <w:hyperlink w:anchor="P3153" w:tooltip="20">
        <w:r>
          <w:rPr>
            <w:color w:val="0000FF"/>
          </w:rPr>
          <w:t>строке 20</w:t>
        </w:r>
      </w:hyperlink>
      <w:r>
        <w:t xml:space="preserve"> включаются данные о суммах, начисленных по дополнительному отпуску. В случае если организация не ведет раздельный учет этих выплат, суммы расходов на дополнительные отпуска определяются </w:t>
      </w:r>
      <w:proofErr w:type="spellStart"/>
      <w:r>
        <w:t>расчетно</w:t>
      </w:r>
      <w:proofErr w:type="spellEnd"/>
      <w:r>
        <w:t xml:space="preserve"> - пропорционально количеству дней основного отпуска.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Графа 5 по </w:t>
      </w:r>
      <w:hyperlink w:anchor="P3173" w:tooltip="24">
        <w:r>
          <w:rPr>
            <w:color w:val="0000FF"/>
          </w:rPr>
          <w:t>строке 24</w:t>
        </w:r>
      </w:hyperlink>
      <w:r>
        <w:t xml:space="preserve"> заполняется, если суммы расходов на оплату труда в повышенном размере за работу с вредными и (или) опасными условиями труда начисляются в виде надбавки к должностному окладу или тарифной ставке. При отсутствии раздельного учета (в случае, когда эти суммы входят в оклад или тарифную ставку), если невозможно получить данные </w:t>
      </w:r>
      <w:proofErr w:type="spellStart"/>
      <w:r>
        <w:t>расчетно</w:t>
      </w:r>
      <w:proofErr w:type="spellEnd"/>
      <w:r>
        <w:t xml:space="preserve">, то графа 5 по </w:t>
      </w:r>
      <w:hyperlink w:anchor="P3173" w:tooltip="24">
        <w:r>
          <w:rPr>
            <w:color w:val="0000FF"/>
          </w:rPr>
          <w:t>строке 24</w:t>
        </w:r>
      </w:hyperlink>
      <w:r>
        <w:t xml:space="preserve"> не заполняется, но при этом дается соответствующее пояснение к данным по </w:t>
      </w:r>
      <w:hyperlink w:anchor="P3007" w:tooltip="СВЕДЕНИЯ">
        <w:r>
          <w:rPr>
            <w:color w:val="0000FF"/>
          </w:rPr>
          <w:t>форме</w:t>
        </w:r>
      </w:hyperlink>
      <w:r>
        <w:t>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нормальных, за работу в особых климатических условиях и на территориях, подвергшихся радиоактивному загрязнению, в графу 5 по </w:t>
      </w:r>
      <w:hyperlink w:anchor="P3153" w:tooltip="20">
        <w:r>
          <w:rPr>
            <w:color w:val="0000FF"/>
          </w:rPr>
          <w:t>строкам 20</w:t>
        </w:r>
      </w:hyperlink>
      <w:r>
        <w:t xml:space="preserve"> и </w:t>
      </w:r>
      <w:hyperlink w:anchor="P3173" w:tooltip="24">
        <w:r>
          <w:rPr>
            <w:color w:val="0000FF"/>
          </w:rPr>
          <w:t>24</w:t>
        </w:r>
      </w:hyperlink>
      <w:r>
        <w:t xml:space="preserve"> не включаются.</w:t>
      </w:r>
    </w:p>
    <w:p w:rsidR="00E4713A" w:rsidRDefault="00FF6D80">
      <w:pPr>
        <w:pStyle w:val="ConsPlusNormal0"/>
        <w:spacing w:before="200"/>
        <w:ind w:firstLine="540"/>
        <w:jc w:val="both"/>
      </w:pPr>
      <w:r>
        <w:t xml:space="preserve">9. Для контроля правильности заполнения данных по </w:t>
      </w:r>
      <w:hyperlink w:anchor="P3007" w:tooltip="СВЕДЕНИЯ">
        <w:r>
          <w:rPr>
            <w:color w:val="0000FF"/>
          </w:rPr>
          <w:t>форме</w:t>
        </w:r>
      </w:hyperlink>
      <w:r>
        <w:t xml:space="preserve"> необходимо учесть следующее:</w:t>
      </w:r>
    </w:p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E4713A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 xml:space="preserve">По </w:t>
            </w:r>
            <w:hyperlink w:anchor="P3050" w:tooltip="Раздел 1. Состояние условий труда (человек)">
              <w:r>
                <w:rPr>
                  <w:color w:val="0000FF"/>
                </w:rPr>
                <w:t>разделу 1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 xml:space="preserve">По </w:t>
            </w:r>
            <w:hyperlink w:anchor="P3132" w:tooltip="Раздел 2. Гарантии и компенсации, предоставляемые">
              <w:r>
                <w:rPr>
                  <w:color w:val="0000FF"/>
                </w:rPr>
                <w:t>разделу 2</w:t>
              </w:r>
            </w:hyperlink>
          </w:p>
        </w:tc>
      </w:tr>
      <w:tr w:rsidR="00E4713A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713A" w:rsidRDefault="00FF6D80">
            <w:pPr>
              <w:pStyle w:val="ConsPlusNormal0"/>
              <w:jc w:val="center"/>
            </w:pPr>
            <w:r>
              <w:t>Обязательные контроли</w:t>
            </w:r>
          </w:p>
        </w:tc>
      </w:tr>
      <w:tr w:rsidR="00E4713A">
        <w:tc>
          <w:tcPr>
            <w:tcW w:w="4252" w:type="dxa"/>
            <w:vMerge w:val="restart"/>
            <w:tcBorders>
              <w:top w:val="single" w:sz="4" w:space="0" w:color="auto"/>
              <w:bottom w:val="nil"/>
            </w:tcBorders>
          </w:tcPr>
          <w:p w:rsidR="00E4713A" w:rsidRDefault="00FF6D80">
            <w:pPr>
              <w:pStyle w:val="ConsPlusNormal0"/>
            </w:pPr>
            <w:r>
              <w:t xml:space="preserve">По строкам с </w:t>
            </w:r>
            <w:hyperlink w:anchor="P3064" w:tooltip="01">
              <w:r>
                <w:rPr>
                  <w:color w:val="0000FF"/>
                </w:rPr>
                <w:t>01</w:t>
              </w:r>
            </w:hyperlink>
            <w:r>
              <w:t xml:space="preserve"> по </w:t>
            </w:r>
            <w:hyperlink w:anchor="P3127" w:tooltip="13">
              <w:r>
                <w:rPr>
                  <w:color w:val="0000FF"/>
                </w:rPr>
                <w:t>13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hyperlink w:anchor="P3060" w:tooltip="3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061" w:tooltip="4">
              <w:r>
                <w:rPr>
                  <w:color w:val="0000FF"/>
                </w:rPr>
                <w:t>гр. 4</w:t>
              </w:r>
            </w:hyperlink>
          </w:p>
          <w:p w:rsidR="00E4713A" w:rsidRDefault="00FF6D80">
            <w:pPr>
              <w:pStyle w:val="ConsPlusNormal0"/>
            </w:pPr>
            <w:hyperlink w:anchor="P3060" w:tooltip="3">
              <w:r>
                <w:rPr>
                  <w:color w:val="0000FF"/>
                </w:rPr>
                <w:t>гр. 3</w:t>
              </w:r>
            </w:hyperlink>
            <w:r>
              <w:t xml:space="preserve"> &gt; </w:t>
            </w:r>
            <w:hyperlink w:anchor="P3062" w:tooltip="5">
              <w:r>
                <w:rPr>
                  <w:color w:val="0000FF"/>
                </w:rPr>
                <w:t>гр. 5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E4713A" w:rsidRDefault="00FF6D80">
            <w:pPr>
              <w:pStyle w:val="ConsPlusNormal0"/>
            </w:pPr>
            <w:r>
              <w:t xml:space="preserve">По строкам с </w:t>
            </w:r>
            <w:hyperlink w:anchor="P3153" w:tooltip="20">
              <w:r>
                <w:rPr>
                  <w:color w:val="0000FF"/>
                </w:rPr>
                <w:t>20</w:t>
              </w:r>
            </w:hyperlink>
            <w:r>
              <w:t xml:space="preserve"> по </w:t>
            </w:r>
            <w:hyperlink w:anchor="P3199" w:tooltip="29">
              <w:r>
                <w:rPr>
                  <w:color w:val="0000FF"/>
                </w:rPr>
                <w:t>29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hyperlink w:anchor="P3144" w:tooltip="3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145" w:tooltip="4">
              <w:r>
                <w:rPr>
                  <w:color w:val="0000FF"/>
                </w:rPr>
                <w:t>гр. 4</w:t>
              </w:r>
            </w:hyperlink>
          </w:p>
        </w:tc>
      </w:tr>
      <w:tr w:rsidR="00E4713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4252" w:type="dxa"/>
            <w:vMerge/>
            <w:tcBorders>
              <w:top w:val="single" w:sz="4" w:space="0" w:color="auto"/>
              <w:bottom w:val="nil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:rsidR="00E4713A" w:rsidRDefault="00FF6D80">
            <w:pPr>
              <w:pStyle w:val="ConsPlusNormal0"/>
            </w:pPr>
            <w:r>
              <w:t xml:space="preserve">По </w:t>
            </w:r>
            <w:hyperlink w:anchor="P3144" w:tooltip="3">
              <w:r>
                <w:rPr>
                  <w:color w:val="0000FF"/>
                </w:rPr>
                <w:t>графам 3</w:t>
              </w:r>
            </w:hyperlink>
            <w:r>
              <w:t xml:space="preserve"> и </w:t>
            </w:r>
            <w:hyperlink w:anchor="P3145" w:tooltip="4">
              <w:r>
                <w:rPr>
                  <w:color w:val="0000FF"/>
                </w:rPr>
                <w:t>4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hyperlink w:anchor="P3199" w:tooltip="29">
              <w:r>
                <w:rPr>
                  <w:color w:val="0000FF"/>
                </w:rPr>
                <w:t>стр. 29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каждой из стр. с </w:t>
            </w:r>
            <w:hyperlink w:anchor="P3153" w:tooltip="20">
              <w:r>
                <w:rPr>
                  <w:color w:val="0000FF"/>
                </w:rPr>
                <w:t>20</w:t>
              </w:r>
            </w:hyperlink>
            <w:r>
              <w:t xml:space="preserve"> по </w:t>
            </w:r>
            <w:hyperlink w:anchor="P3194" w:tooltip="28">
              <w:r>
                <w:rPr>
                  <w:color w:val="0000FF"/>
                </w:rPr>
                <w:t>28</w:t>
              </w:r>
            </w:hyperlink>
          </w:p>
          <w:p w:rsidR="00E4713A" w:rsidRDefault="00FF6D80">
            <w:pPr>
              <w:pStyle w:val="ConsPlusNormal0"/>
            </w:pPr>
            <w:hyperlink w:anchor="P3199" w:tooltip="29">
              <w:r>
                <w:rPr>
                  <w:color w:val="0000FF"/>
                </w:rPr>
                <w:t>стр. 29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суммы стр. с </w:t>
            </w:r>
            <w:hyperlink w:anchor="P3184" w:tooltip="26">
              <w:r>
                <w:rPr>
                  <w:color w:val="0000FF"/>
                </w:rPr>
                <w:t>26</w:t>
              </w:r>
            </w:hyperlink>
            <w:r>
              <w:t xml:space="preserve"> по </w:t>
            </w:r>
            <w:hyperlink w:anchor="P3194" w:tooltip="28">
              <w:r>
                <w:rPr>
                  <w:color w:val="0000FF"/>
                </w:rPr>
                <w:t>28</w:t>
              </w:r>
            </w:hyperlink>
          </w:p>
          <w:p w:rsidR="00E4713A" w:rsidRDefault="00FF6D80">
            <w:pPr>
              <w:pStyle w:val="ConsPlusNormal0"/>
            </w:pPr>
            <w:hyperlink w:anchor="P3199" w:tooltip="29">
              <w:r>
                <w:rPr>
                  <w:color w:val="0000FF"/>
                </w:rPr>
                <w:t>стр. 29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суммы строк с </w:t>
            </w:r>
            <w:hyperlink w:anchor="P3153" w:tooltip="20">
              <w:r>
                <w:rPr>
                  <w:color w:val="0000FF"/>
                </w:rPr>
                <w:t>20</w:t>
              </w:r>
            </w:hyperlink>
            <w:r>
              <w:t xml:space="preserve"> по </w:t>
            </w:r>
            <w:hyperlink w:anchor="P3194" w:tooltip="28">
              <w:r>
                <w:rPr>
                  <w:color w:val="0000FF"/>
                </w:rPr>
                <w:t>28</w:t>
              </w:r>
            </w:hyperlink>
          </w:p>
          <w:p w:rsidR="00E4713A" w:rsidRDefault="00FF6D80">
            <w:pPr>
              <w:pStyle w:val="ConsPlusNormal0"/>
            </w:pPr>
            <w:r>
              <w:t xml:space="preserve">каждая из строк с </w:t>
            </w:r>
            <w:hyperlink w:anchor="P3153" w:tooltip="20">
              <w:r>
                <w:rPr>
                  <w:color w:val="0000FF"/>
                </w:rPr>
                <w:t>20</w:t>
              </w:r>
            </w:hyperlink>
            <w:r>
              <w:t xml:space="preserve"> по </w:t>
            </w:r>
            <w:hyperlink w:anchor="P3199" w:tooltip="29">
              <w:r>
                <w:rPr>
                  <w:color w:val="0000FF"/>
                </w:rPr>
                <w:t>29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069" w:tooltip="02">
              <w:r>
                <w:rPr>
                  <w:color w:val="0000FF"/>
                </w:rPr>
                <w:t>стр. 02 раздела 1</w:t>
              </w:r>
            </w:hyperlink>
          </w:p>
          <w:p w:rsidR="00E4713A" w:rsidRDefault="00FF6D80">
            <w:pPr>
              <w:pStyle w:val="ConsPlusNormal0"/>
            </w:pPr>
            <w:r>
              <w:t xml:space="preserve">(гр. 3 - гр. 4) стр. с </w:t>
            </w:r>
            <w:hyperlink w:anchor="P3153" w:tooltip="20">
              <w:r>
                <w:rPr>
                  <w:color w:val="0000FF"/>
                </w:rPr>
                <w:t>20</w:t>
              </w:r>
            </w:hyperlink>
            <w:r>
              <w:t xml:space="preserve"> по </w:t>
            </w:r>
            <w:hyperlink w:anchor="P3199" w:tooltip="29">
              <w:r>
                <w:rPr>
                  <w:color w:val="0000FF"/>
                </w:rPr>
                <w:t>29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3 - гр. 4) </w:t>
            </w:r>
            <w:hyperlink w:anchor="P3069" w:tooltip="02">
              <w:r>
                <w:rPr>
                  <w:color w:val="0000FF"/>
                </w:rPr>
                <w:t>стр. 02 раздела 1</w:t>
              </w:r>
            </w:hyperlink>
          </w:p>
          <w:p w:rsidR="00E4713A" w:rsidRDefault="00FF6D80">
            <w:pPr>
              <w:pStyle w:val="ConsPlusNormal0"/>
            </w:pPr>
            <w:r>
              <w:t xml:space="preserve">(гр. 3 - гр. 4) </w:t>
            </w:r>
            <w:hyperlink w:anchor="P3199" w:tooltip="29">
              <w:r>
                <w:rPr>
                  <w:color w:val="0000FF"/>
                </w:rPr>
                <w:t>стр. 29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3 - гр. 4) стр. с </w:t>
            </w:r>
            <w:hyperlink w:anchor="P3153" w:tooltip="20">
              <w:r>
                <w:rPr>
                  <w:color w:val="0000FF"/>
                </w:rPr>
                <w:t>20</w:t>
              </w:r>
            </w:hyperlink>
            <w:r>
              <w:t xml:space="preserve"> по </w:t>
            </w:r>
            <w:hyperlink w:anchor="P3194" w:tooltip="28">
              <w:r>
                <w:rPr>
                  <w:color w:val="0000FF"/>
                </w:rPr>
                <w:t>28</w:t>
              </w:r>
            </w:hyperlink>
          </w:p>
        </w:tc>
      </w:tr>
      <w:tr w:rsidR="00E4713A">
        <w:tblPrEx>
          <w:tblBorders>
            <w:insideH w:val="none" w:sz="0" w:space="0" w:color="auto"/>
          </w:tblBorders>
        </w:tblPrEx>
        <w:tc>
          <w:tcPr>
            <w:tcW w:w="4252" w:type="dxa"/>
            <w:tcBorders>
              <w:top w:val="nil"/>
              <w:bottom w:val="nil"/>
            </w:tcBorders>
          </w:tcPr>
          <w:p w:rsidR="00E4713A" w:rsidRDefault="00FF6D80">
            <w:pPr>
              <w:pStyle w:val="ConsPlusNormal0"/>
            </w:pPr>
            <w:r>
              <w:lastRenderedPageBreak/>
              <w:t xml:space="preserve">По графам с </w:t>
            </w:r>
            <w:hyperlink w:anchor="P3060" w:tooltip="3">
              <w:r>
                <w:rPr>
                  <w:color w:val="0000FF"/>
                </w:rPr>
                <w:t>3</w:t>
              </w:r>
            </w:hyperlink>
            <w:r>
              <w:t xml:space="preserve"> по </w:t>
            </w:r>
            <w:hyperlink w:anchor="P3062" w:tooltip="5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hyperlink w:anchor="P3064" w:tooltip="01">
              <w:r>
                <w:rPr>
                  <w:color w:val="0000FF"/>
                </w:rPr>
                <w:t>стр. 01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069" w:tooltip="02">
              <w:r>
                <w:rPr>
                  <w:color w:val="0000FF"/>
                </w:rPr>
                <w:t>02</w:t>
              </w:r>
            </w:hyperlink>
          </w:p>
          <w:p w:rsidR="00E4713A" w:rsidRDefault="00FF6D80">
            <w:pPr>
              <w:pStyle w:val="ConsPlusNormal0"/>
            </w:pPr>
            <w:hyperlink w:anchor="P3069" w:tooltip="02">
              <w:r>
                <w:rPr>
                  <w:color w:val="0000FF"/>
                </w:rPr>
                <w:t>стр. 02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каждой из стр. с </w:t>
            </w:r>
            <w:hyperlink w:anchor="P3076" w:tooltip="03">
              <w:r>
                <w:rPr>
                  <w:color w:val="0000FF"/>
                </w:rPr>
                <w:t>03</w:t>
              </w:r>
            </w:hyperlink>
            <w:r>
              <w:t xml:space="preserve"> по </w:t>
            </w:r>
            <w:hyperlink w:anchor="P3127" w:tooltip="13">
              <w:r>
                <w:rPr>
                  <w:color w:val="0000FF"/>
                </w:rPr>
                <w:t>13</w:t>
              </w:r>
            </w:hyperlink>
          </w:p>
          <w:p w:rsidR="00E4713A" w:rsidRDefault="00FF6D80">
            <w:pPr>
              <w:pStyle w:val="ConsPlusNormal0"/>
            </w:pPr>
            <w:hyperlink w:anchor="P3069" w:tooltip="02">
              <w:r>
                <w:rPr>
                  <w:color w:val="0000FF"/>
                </w:rPr>
                <w:t>стр. 02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суммы стр. с </w:t>
            </w:r>
            <w:hyperlink w:anchor="P3076" w:tooltip="03">
              <w:r>
                <w:rPr>
                  <w:color w:val="0000FF"/>
                </w:rPr>
                <w:t>03</w:t>
              </w:r>
            </w:hyperlink>
            <w:r>
              <w:t xml:space="preserve"> по </w:t>
            </w:r>
            <w:hyperlink w:anchor="P3127" w:tooltip="13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4819" w:type="dxa"/>
            <w:vMerge/>
            <w:tcBorders>
              <w:top w:val="nil"/>
              <w:bottom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4252" w:type="dxa"/>
            <w:vMerge w:val="restart"/>
            <w:tcBorders>
              <w:top w:val="nil"/>
              <w:bottom w:val="single" w:sz="4" w:space="0" w:color="auto"/>
            </w:tcBorders>
          </w:tcPr>
          <w:p w:rsidR="00E4713A" w:rsidRDefault="00FF6D80">
            <w:pPr>
              <w:pStyle w:val="ConsPlusNormal0"/>
            </w:pPr>
            <w:r>
              <w:lastRenderedPageBreak/>
              <w:t xml:space="preserve">По </w:t>
            </w:r>
            <w:hyperlink w:anchor="P3060" w:tooltip="3">
              <w:r>
                <w:rPr>
                  <w:color w:val="0000FF"/>
                </w:rPr>
                <w:t>графам 3</w:t>
              </w:r>
            </w:hyperlink>
            <w:r>
              <w:t xml:space="preserve">, </w:t>
            </w:r>
            <w:hyperlink w:anchor="P3061" w:tooltip="4">
              <w:r>
                <w:rPr>
                  <w:color w:val="0000FF"/>
                </w:rPr>
                <w:t>4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r>
              <w:t xml:space="preserve">(гр. 3 - гр. 4) </w:t>
            </w:r>
            <w:hyperlink w:anchor="P3064" w:tooltip="01">
              <w:r>
                <w:rPr>
                  <w:color w:val="0000FF"/>
                </w:rPr>
                <w:t>стр. 01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3 - гр. 4) </w:t>
            </w:r>
            <w:hyperlink w:anchor="P3069" w:tooltip="02">
              <w:r>
                <w:rPr>
                  <w:color w:val="0000FF"/>
                </w:rPr>
                <w:t>стр. 02</w:t>
              </w:r>
            </w:hyperlink>
          </w:p>
          <w:p w:rsidR="00E4713A" w:rsidRDefault="00FF6D80">
            <w:pPr>
              <w:pStyle w:val="ConsPlusNormal0"/>
            </w:pPr>
            <w:r>
              <w:t xml:space="preserve">(гр. 3 - гр. 4) </w:t>
            </w:r>
            <w:hyperlink w:anchor="P3069" w:tooltip="02">
              <w:r>
                <w:rPr>
                  <w:color w:val="0000FF"/>
                </w:rPr>
                <w:t>стр. 02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(гр. 3 - гр. 4) стр. с </w:t>
            </w:r>
            <w:hyperlink w:anchor="P3076" w:tooltip="03">
              <w:r>
                <w:rPr>
                  <w:color w:val="0000FF"/>
                </w:rPr>
                <w:t>03</w:t>
              </w:r>
            </w:hyperlink>
            <w:r>
              <w:t xml:space="preserve"> по </w:t>
            </w:r>
            <w:hyperlink w:anchor="P3127" w:tooltip="13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4819" w:type="dxa"/>
            <w:vMerge/>
            <w:tcBorders>
              <w:top w:val="nil"/>
              <w:bottom w:val="nil"/>
            </w:tcBorders>
          </w:tcPr>
          <w:p w:rsidR="00E4713A" w:rsidRDefault="00E4713A">
            <w:pPr>
              <w:pStyle w:val="ConsPlusNormal0"/>
            </w:pPr>
          </w:p>
        </w:tc>
      </w:tr>
      <w:tr w:rsidR="00E4713A">
        <w:tblPrEx>
          <w:tblBorders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E4713A" w:rsidRDefault="00FF6D80">
            <w:pPr>
              <w:pStyle w:val="ConsPlusNormal0"/>
            </w:pPr>
            <w:r>
              <w:t xml:space="preserve">По </w:t>
            </w:r>
            <w:hyperlink w:anchor="P3144" w:tooltip="3">
              <w:r>
                <w:rPr>
                  <w:color w:val="0000FF"/>
                </w:rPr>
                <w:t>графе 3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hyperlink w:anchor="P3204" w:tooltip="30">
              <w:r>
                <w:rPr>
                  <w:color w:val="0000FF"/>
                </w:rPr>
                <w:t>стр. 30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064" w:tooltip="01">
              <w:r>
                <w:rPr>
                  <w:color w:val="0000FF"/>
                </w:rPr>
                <w:t>стр. 01 раздела 1</w:t>
              </w:r>
            </w:hyperlink>
          </w:p>
          <w:p w:rsidR="00E4713A" w:rsidRDefault="00FF6D80">
            <w:pPr>
              <w:pStyle w:val="ConsPlusNormal0"/>
            </w:pPr>
            <w:hyperlink w:anchor="P3209" w:tooltip="31">
              <w:r>
                <w:rPr>
                  <w:color w:val="0000FF"/>
                </w:rPr>
                <w:t>стр. 31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069" w:tooltip="02">
              <w:r>
                <w:rPr>
                  <w:color w:val="0000FF"/>
                </w:rPr>
                <w:t>стр. 02 раздела 1</w:t>
              </w:r>
            </w:hyperlink>
          </w:p>
          <w:p w:rsidR="00E4713A" w:rsidRDefault="00FF6D80">
            <w:pPr>
              <w:pStyle w:val="ConsPlusNormal0"/>
            </w:pPr>
            <w:r>
              <w:t xml:space="preserve">если </w:t>
            </w:r>
            <w:hyperlink w:anchor="P3199" w:tooltip="29">
              <w:r>
                <w:rPr>
                  <w:color w:val="0000FF"/>
                </w:rPr>
                <w:t>стр. 29</w:t>
              </w:r>
            </w:hyperlink>
            <w:r>
              <w:t xml:space="preserve"> или </w:t>
            </w:r>
            <w:hyperlink w:anchor="P3209" w:tooltip="31">
              <w:r>
                <w:rPr>
                  <w:color w:val="0000FF"/>
                </w:rPr>
                <w:t>31</w:t>
              </w:r>
            </w:hyperlink>
            <w:r>
              <w:t xml:space="preserve"> &gt; 0, то </w:t>
            </w:r>
            <w:hyperlink w:anchor="P3069" w:tooltip="02">
              <w:r>
                <w:rPr>
                  <w:color w:val="0000FF"/>
                </w:rPr>
                <w:t>стр. 02 раздела 1</w:t>
              </w:r>
            </w:hyperlink>
            <w:r>
              <w:t xml:space="preserve"> &gt; 0</w:t>
            </w:r>
          </w:p>
        </w:tc>
      </w:tr>
      <w:tr w:rsidR="00E4713A">
        <w:tblPrEx>
          <w:tblBorders>
            <w:insideH w:val="none" w:sz="0" w:space="0" w:color="auto"/>
          </w:tblBorders>
        </w:tblPrEx>
        <w:tc>
          <w:tcPr>
            <w:tcW w:w="4252" w:type="dxa"/>
            <w:vMerge/>
            <w:tcBorders>
              <w:top w:val="nil"/>
              <w:bottom w:val="single" w:sz="4" w:space="0" w:color="auto"/>
            </w:tcBorders>
          </w:tcPr>
          <w:p w:rsidR="00E4713A" w:rsidRDefault="00E4713A">
            <w:pPr>
              <w:pStyle w:val="ConsPlusNormal0"/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E4713A" w:rsidRDefault="00FF6D80">
            <w:pPr>
              <w:pStyle w:val="ConsPlusNormal0"/>
            </w:pPr>
            <w:r>
              <w:t xml:space="preserve">По </w:t>
            </w:r>
            <w:hyperlink w:anchor="P3144" w:tooltip="3">
              <w:r>
                <w:rPr>
                  <w:color w:val="0000FF"/>
                </w:rPr>
                <w:t>графам 3</w:t>
              </w:r>
            </w:hyperlink>
            <w:r>
              <w:t xml:space="preserve">, </w:t>
            </w:r>
            <w:hyperlink w:anchor="P3146" w:tooltip="5">
              <w:r>
                <w:rPr>
                  <w:color w:val="0000FF"/>
                </w:rPr>
                <w:t>5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hyperlink w:anchor="P3204" w:tooltip="30">
              <w:r>
                <w:rPr>
                  <w:color w:val="0000FF"/>
                </w:rPr>
                <w:t>стр. 30</w:t>
              </w:r>
            </w:hyperlink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w:anchor="P3209" w:tooltip="31">
              <w:r>
                <w:rPr>
                  <w:color w:val="0000FF"/>
                </w:rPr>
                <w:t>стр. 31</w:t>
              </w:r>
            </w:hyperlink>
          </w:p>
        </w:tc>
      </w:tr>
    </w:tbl>
    <w:p w:rsidR="00E4713A" w:rsidRDefault="00E4713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E4713A">
        <w:tc>
          <w:tcPr>
            <w:tcW w:w="9071" w:type="dxa"/>
            <w:gridSpan w:val="2"/>
          </w:tcPr>
          <w:p w:rsidR="00E4713A" w:rsidRDefault="00FF6D80">
            <w:pPr>
              <w:pStyle w:val="ConsPlusNormal0"/>
              <w:jc w:val="center"/>
            </w:pPr>
            <w:r>
              <w:t>Предупредительные контроли</w:t>
            </w:r>
          </w:p>
        </w:tc>
      </w:tr>
      <w:tr w:rsidR="00E4713A">
        <w:tc>
          <w:tcPr>
            <w:tcW w:w="4252" w:type="dxa"/>
          </w:tcPr>
          <w:p w:rsidR="00E4713A" w:rsidRDefault="00FF6D80">
            <w:pPr>
              <w:pStyle w:val="ConsPlusNormal0"/>
            </w:pPr>
            <w:r>
              <w:t xml:space="preserve">По </w:t>
            </w:r>
            <w:hyperlink w:anchor="P3060" w:tooltip="3">
              <w:r>
                <w:rPr>
                  <w:color w:val="0000FF"/>
                </w:rPr>
                <w:t>графе 3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r>
              <w:t xml:space="preserve">если </w:t>
            </w:r>
            <w:hyperlink w:anchor="P3069" w:tooltip="02">
              <w:r>
                <w:rPr>
                  <w:color w:val="0000FF"/>
                </w:rPr>
                <w:t>стр. 02</w:t>
              </w:r>
            </w:hyperlink>
            <w:r>
              <w:t xml:space="preserve"> &gt; 0, то </w:t>
            </w:r>
            <w:hyperlink w:anchor="P3199" w:tooltip="29">
              <w:r>
                <w:rPr>
                  <w:color w:val="0000FF"/>
                </w:rPr>
                <w:t>стр. 29</w:t>
              </w:r>
            </w:hyperlink>
            <w:r>
              <w:t xml:space="preserve"> или </w:t>
            </w:r>
            <w:hyperlink w:anchor="P3209" w:tooltip="31">
              <w:r>
                <w:rPr>
                  <w:color w:val="0000FF"/>
                </w:rPr>
                <w:t>31 раздела 2</w:t>
              </w:r>
            </w:hyperlink>
            <w:r>
              <w:t xml:space="preserve"> &gt; 0</w:t>
            </w:r>
          </w:p>
        </w:tc>
        <w:tc>
          <w:tcPr>
            <w:tcW w:w="4819" w:type="dxa"/>
          </w:tcPr>
          <w:p w:rsidR="00E4713A" w:rsidRDefault="00FF6D80">
            <w:pPr>
              <w:pStyle w:val="ConsPlusNormal0"/>
            </w:pPr>
            <w:r>
              <w:t xml:space="preserve">По </w:t>
            </w:r>
            <w:hyperlink w:anchor="P3144" w:tooltip="3">
              <w:r>
                <w:rPr>
                  <w:color w:val="0000FF"/>
                </w:rPr>
                <w:t>графам 3</w:t>
              </w:r>
            </w:hyperlink>
            <w:r>
              <w:t xml:space="preserve">, </w:t>
            </w:r>
            <w:hyperlink w:anchor="P3145" w:tooltip="4">
              <w:r>
                <w:rPr>
                  <w:color w:val="0000FF"/>
                </w:rPr>
                <w:t>4</w:t>
              </w:r>
            </w:hyperlink>
            <w:r>
              <w:t>:</w:t>
            </w:r>
          </w:p>
          <w:p w:rsidR="00E4713A" w:rsidRDefault="00FF6D80">
            <w:pPr>
              <w:pStyle w:val="ConsPlusNormal0"/>
            </w:pPr>
            <w:hyperlink w:anchor="P3178" w:tooltip="25">
              <w:r>
                <w:rPr>
                  <w:color w:val="0000FF"/>
                </w:rPr>
                <w:t>стр. 25</w:t>
              </w:r>
            </w:hyperlink>
            <w:r>
              <w:t xml:space="preserve"> = </w:t>
            </w:r>
            <w:hyperlink w:anchor="P3069" w:tooltip="02">
              <w:r>
                <w:rPr>
                  <w:color w:val="0000FF"/>
                </w:rPr>
                <w:t>стр. 02 раздела 1</w:t>
              </w:r>
            </w:hyperlink>
          </w:p>
          <w:p w:rsidR="00E4713A" w:rsidRDefault="00FF6D80">
            <w:pPr>
              <w:pStyle w:val="ConsPlusNormal0"/>
            </w:pPr>
            <w:hyperlink w:anchor="P3199" w:tooltip="29">
              <w:r>
                <w:rPr>
                  <w:color w:val="0000FF"/>
                </w:rPr>
                <w:t>стр. 29</w:t>
              </w:r>
            </w:hyperlink>
            <w:r>
              <w:t xml:space="preserve"> = </w:t>
            </w:r>
            <w:hyperlink w:anchor="P3069" w:tooltip="02">
              <w:r>
                <w:rPr>
                  <w:color w:val="0000FF"/>
                </w:rPr>
                <w:t>стр. 02 раздела 1</w:t>
              </w:r>
            </w:hyperlink>
          </w:p>
        </w:tc>
      </w:tr>
    </w:tbl>
    <w:p w:rsidR="00E4713A" w:rsidRDefault="00E4713A">
      <w:pPr>
        <w:pStyle w:val="ConsPlusNormal0"/>
        <w:jc w:val="both"/>
      </w:pPr>
    </w:p>
    <w:p w:rsidR="00E4713A" w:rsidRDefault="00FF6D80">
      <w:pPr>
        <w:pStyle w:val="ConsPlusNormal0"/>
        <w:ind w:firstLine="540"/>
        <w:jc w:val="both"/>
      </w:pPr>
      <w:r>
        <w:t xml:space="preserve">Примечание: (гр. 3 - гр. 4) соответствует численности мужчин по строкам с </w:t>
      </w:r>
      <w:hyperlink w:anchor="P3064" w:tooltip="01">
        <w:r>
          <w:rPr>
            <w:color w:val="0000FF"/>
          </w:rPr>
          <w:t>01</w:t>
        </w:r>
      </w:hyperlink>
      <w:r>
        <w:t xml:space="preserve"> по </w:t>
      </w:r>
      <w:hyperlink w:anchor="P3127" w:tooltip="13">
        <w:r>
          <w:rPr>
            <w:color w:val="0000FF"/>
          </w:rPr>
          <w:t>13 раздела 1</w:t>
        </w:r>
      </w:hyperlink>
      <w:r>
        <w:t xml:space="preserve">, с </w:t>
      </w:r>
      <w:hyperlink w:anchor="P3153" w:tooltip="20">
        <w:r>
          <w:rPr>
            <w:color w:val="0000FF"/>
          </w:rPr>
          <w:t>20</w:t>
        </w:r>
      </w:hyperlink>
      <w:r>
        <w:t xml:space="preserve"> по </w:t>
      </w:r>
      <w:hyperlink w:anchor="P3199" w:tooltip="29">
        <w:r>
          <w:rPr>
            <w:color w:val="0000FF"/>
          </w:rPr>
          <w:t>29 раздела 2</w:t>
        </w:r>
      </w:hyperlink>
      <w:r>
        <w:t>.</w:t>
      </w:r>
    </w:p>
    <w:p w:rsidR="00E4713A" w:rsidRDefault="00E4713A">
      <w:pPr>
        <w:pStyle w:val="ConsPlusNormal0"/>
        <w:jc w:val="both"/>
      </w:pPr>
    </w:p>
    <w:p w:rsidR="00E4713A" w:rsidRDefault="00E4713A">
      <w:pPr>
        <w:pStyle w:val="ConsPlusNormal0"/>
        <w:jc w:val="both"/>
      </w:pPr>
      <w:bookmarkStart w:id="29" w:name="_GoBack"/>
      <w:bookmarkEnd w:id="29"/>
    </w:p>
    <w:sectPr w:rsidR="00E4713A">
      <w:headerReference w:type="default" r:id="rId59"/>
      <w:footerReference w:type="default" r:id="rId60"/>
      <w:headerReference w:type="first" r:id="rId61"/>
      <w:footerReference w:type="first" r:id="rId6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A7" w:rsidRDefault="00A42DA7">
      <w:r>
        <w:separator/>
      </w:r>
    </w:p>
  </w:endnote>
  <w:endnote w:type="continuationSeparator" w:id="0">
    <w:p w:rsidR="00A42DA7" w:rsidRDefault="00A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6D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6D80" w:rsidRDefault="00FF6D80">
          <w:pPr>
            <w:pStyle w:val="ConsPlusNormal0"/>
          </w:pPr>
        </w:p>
      </w:tc>
      <w:tc>
        <w:tcPr>
          <w:tcW w:w="1700" w:type="pct"/>
          <w:vAlign w:val="center"/>
        </w:tcPr>
        <w:p w:rsidR="00FF6D80" w:rsidRDefault="00FF6D8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F6D80" w:rsidRDefault="00FF6D80">
          <w:pPr>
            <w:pStyle w:val="ConsPlusNormal0"/>
            <w:jc w:val="right"/>
          </w:pPr>
        </w:p>
      </w:tc>
    </w:tr>
  </w:tbl>
  <w:p w:rsidR="00FF6D80" w:rsidRDefault="00FF6D8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F6D80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F6D80" w:rsidRDefault="00FF6D8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6D80" w:rsidRDefault="00FF6D8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6D80" w:rsidRDefault="00FF6D8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148</w:t>
          </w:r>
          <w:r>
            <w:fldChar w:fldCharType="end"/>
          </w:r>
        </w:p>
      </w:tc>
    </w:tr>
  </w:tbl>
  <w:p w:rsidR="00FF6D80" w:rsidRDefault="00FF6D8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D80" w:rsidRDefault="00FF6D8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6D8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6D80" w:rsidRDefault="00FF6D80">
          <w:pPr>
            <w:pStyle w:val="ConsPlusNormal0"/>
          </w:pPr>
        </w:p>
      </w:tc>
      <w:tc>
        <w:tcPr>
          <w:tcW w:w="1700" w:type="pct"/>
          <w:vAlign w:val="center"/>
        </w:tcPr>
        <w:p w:rsidR="00FF6D80" w:rsidRDefault="00FF6D8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F6D80" w:rsidRDefault="00FF6D80">
          <w:pPr>
            <w:pStyle w:val="ConsPlusNormal0"/>
            <w:jc w:val="right"/>
          </w:pPr>
        </w:p>
      </w:tc>
    </w:tr>
  </w:tbl>
  <w:p w:rsidR="00FF6D80" w:rsidRDefault="00FF6D8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D80" w:rsidRDefault="00FF6D8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A7" w:rsidRDefault="00A42DA7">
      <w:r>
        <w:separator/>
      </w:r>
    </w:p>
  </w:footnote>
  <w:footnote w:type="continuationSeparator" w:id="0">
    <w:p w:rsidR="00A42DA7" w:rsidRDefault="00A4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D80" w:rsidRDefault="00FF6D8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F6D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6D80" w:rsidRDefault="00FF6D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31.07.2024 N 338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 федерального статистического наблюдения для организации федерал...</w:t>
          </w:r>
        </w:p>
      </w:tc>
      <w:tc>
        <w:tcPr>
          <w:tcW w:w="2300" w:type="pct"/>
          <w:vAlign w:val="center"/>
        </w:tcPr>
        <w:p w:rsidR="00FF6D80" w:rsidRDefault="00FF6D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04.12.2024</w:t>
          </w:r>
        </w:p>
      </w:tc>
    </w:tr>
  </w:tbl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D80" w:rsidRDefault="00FF6D80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F6D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F6D80" w:rsidRDefault="00FF6D8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31.07.2024 N 338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 федерального статистического наблюдения для организации федерал...</w:t>
          </w:r>
        </w:p>
      </w:tc>
      <w:tc>
        <w:tcPr>
          <w:tcW w:w="2300" w:type="pct"/>
          <w:vAlign w:val="center"/>
        </w:tcPr>
        <w:p w:rsidR="00FF6D80" w:rsidRDefault="00FF6D8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04.12.2024</w:t>
          </w:r>
        </w:p>
      </w:tc>
    </w:tr>
  </w:tbl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D80" w:rsidRDefault="00FF6D80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F6D80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F6D80" w:rsidRDefault="00FF6D8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F6D80" w:rsidRDefault="00FF6D8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D80" w:rsidRDefault="00FF6D80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80" w:rsidRPr="00E07E45" w:rsidRDefault="00FF6D80" w:rsidP="00E07E4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F6D8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6D80" w:rsidRDefault="00FF6D8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FF6D80" w:rsidRDefault="00FF6D8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FF6D80" w:rsidRDefault="00FF6D8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6D80" w:rsidRDefault="00FF6D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13A"/>
    <w:rsid w:val="009C4A01"/>
    <w:rsid w:val="00A42DA7"/>
    <w:rsid w:val="00E07E45"/>
    <w:rsid w:val="00E4713A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F6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D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6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D80"/>
  </w:style>
  <w:style w:type="paragraph" w:styleId="a7">
    <w:name w:val="footer"/>
    <w:basedOn w:val="a"/>
    <w:link w:val="a8"/>
    <w:uiPriority w:val="99"/>
    <w:unhideWhenUsed/>
    <w:rsid w:val="00FF6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login.consultant.ru/link/?req=doc&amp;base=LAW&amp;n=490979&amp;dst=104365" TargetMode="External"/><Relationship Id="rId39" Type="http://schemas.openxmlformats.org/officeDocument/2006/relationships/hyperlink" Target="https://login.consultant.ru/link/?req=doc&amp;base=LAW&amp;n=475114&amp;dst=102527" TargetMode="External"/><Relationship Id="rId21" Type="http://schemas.openxmlformats.org/officeDocument/2006/relationships/hyperlink" Target="https://login.consultant.ru/link/?req=doc&amp;base=LAW&amp;n=490979&amp;dst=100711" TargetMode="External"/><Relationship Id="rId34" Type="http://schemas.openxmlformats.org/officeDocument/2006/relationships/hyperlink" Target="https://login.consultant.ru/link/?req=doc&amp;base=LAW&amp;n=392096&amp;dst=100010" TargetMode="External"/><Relationship Id="rId42" Type="http://schemas.openxmlformats.org/officeDocument/2006/relationships/hyperlink" Target="https://login.consultant.ru/link/?req=doc&amp;base=LAW&amp;n=475114&amp;dst=102527" TargetMode="External"/><Relationship Id="rId47" Type="http://schemas.openxmlformats.org/officeDocument/2006/relationships/hyperlink" Target="https://login.consultant.ru/link/?req=doc&amp;base=LAW&amp;n=474055" TargetMode="External"/><Relationship Id="rId50" Type="http://schemas.openxmlformats.org/officeDocument/2006/relationships/hyperlink" Target="https://login.consultant.ru/link/?req=doc&amp;base=LAW&amp;n=26762&amp;dst=100008" TargetMode="External"/><Relationship Id="rId55" Type="http://schemas.openxmlformats.org/officeDocument/2006/relationships/hyperlink" Target="https://login.consultant.ru/link/?req=doc&amp;base=LAW&amp;n=28690&amp;dst=10001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1436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90979&amp;dst=100497" TargetMode="External"/><Relationship Id="rId29" Type="http://schemas.openxmlformats.org/officeDocument/2006/relationships/hyperlink" Target="https://login.consultant.ru/link/?req=doc&amp;base=LAW&amp;n=483133&amp;dst=101545" TargetMode="External"/><Relationship Id="rId41" Type="http://schemas.openxmlformats.org/officeDocument/2006/relationships/hyperlink" Target="https://login.consultant.ru/link/?req=doc&amp;base=LAW&amp;n=417984" TargetMode="External"/><Relationship Id="rId54" Type="http://schemas.openxmlformats.org/officeDocument/2006/relationships/hyperlink" Target="https://login.consultant.ru/link/?req=doc&amp;base=LAW&amp;n=28690&amp;dst=100010" TargetMode="External"/><Relationship Id="rId62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90979&amp;dst=106028" TargetMode="External"/><Relationship Id="rId32" Type="http://schemas.openxmlformats.org/officeDocument/2006/relationships/hyperlink" Target="https://login.consultant.ru/link/?req=doc&amp;base=LAW&amp;n=449316" TargetMode="External"/><Relationship Id="rId37" Type="http://schemas.openxmlformats.org/officeDocument/2006/relationships/hyperlink" Target="https://login.consultant.ru/link/?req=doc&amp;base=LAW&amp;n=475114&amp;dst=100691" TargetMode="External"/><Relationship Id="rId40" Type="http://schemas.openxmlformats.org/officeDocument/2006/relationships/hyperlink" Target="https://login.consultant.ru/link/?req=doc&amp;base=LAW&amp;n=474986" TargetMode="External"/><Relationship Id="rId45" Type="http://schemas.openxmlformats.org/officeDocument/2006/relationships/hyperlink" Target="https://login.consultant.ru/link/?req=doc&amp;base=LAW&amp;n=409057" TargetMode="External"/><Relationship Id="rId53" Type="http://schemas.openxmlformats.org/officeDocument/2006/relationships/hyperlink" Target="https://login.consultant.ru/link/?req=doc&amp;base=LAW&amp;n=24847&amp;dst=100008" TargetMode="External"/><Relationship Id="rId58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login.consultant.ru/link/?req=doc&amp;base=LAW&amp;n=490979&amp;dst=102809" TargetMode="External"/><Relationship Id="rId28" Type="http://schemas.openxmlformats.org/officeDocument/2006/relationships/hyperlink" Target="https://login.consultant.ru/link/?req=doc&amp;base=LAW&amp;n=483133" TargetMode="External"/><Relationship Id="rId36" Type="http://schemas.openxmlformats.org/officeDocument/2006/relationships/hyperlink" Target="https://login.consultant.ru/link/?req=doc&amp;base=LAW&amp;n=475114&amp;dst=100679" TargetMode="External"/><Relationship Id="rId49" Type="http://schemas.openxmlformats.org/officeDocument/2006/relationships/hyperlink" Target="https://login.consultant.ru/link/?req=doc&amp;base=LAW&amp;n=18181&amp;dst=102526" TargetMode="External"/><Relationship Id="rId57" Type="http://schemas.openxmlformats.org/officeDocument/2006/relationships/image" Target="media/image1.wmf"/><Relationship Id="rId61" Type="http://schemas.openxmlformats.org/officeDocument/2006/relationships/header" Target="header6.xml"/><Relationship Id="rId10" Type="http://schemas.openxmlformats.org/officeDocument/2006/relationships/hyperlink" Target="https://login.consultant.ru/link/?req=doc&amp;base=LAW&amp;n=18181&amp;dst=102526" TargetMode="External"/><Relationship Id="rId19" Type="http://schemas.openxmlformats.org/officeDocument/2006/relationships/hyperlink" Target="https://login.consultant.ru/link/?req=doc&amp;base=LAW&amp;n=490979&amp;dst=100133" TargetMode="External"/><Relationship Id="rId31" Type="http://schemas.openxmlformats.org/officeDocument/2006/relationships/hyperlink" Target="https://login.consultant.ru/link/?req=doc&amp;base=LAW&amp;n=452984" TargetMode="External"/><Relationship Id="rId44" Type="http://schemas.openxmlformats.org/officeDocument/2006/relationships/hyperlink" Target="https://login.consultant.ru/link/?req=doc&amp;base=LAW&amp;n=375352&amp;dst=100020" TargetMode="External"/><Relationship Id="rId52" Type="http://schemas.openxmlformats.org/officeDocument/2006/relationships/hyperlink" Target="https://login.consultant.ru/link/?req=doc&amp;base=LAW&amp;n=28758&amp;dst=100008" TargetMode="External"/><Relationship Id="rId6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181&amp;dst=100018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login.consultant.ru/link/?req=doc&amp;base=LAW&amp;n=490979&amp;dst=102708" TargetMode="External"/><Relationship Id="rId27" Type="http://schemas.openxmlformats.org/officeDocument/2006/relationships/hyperlink" Target="https://login.consultant.ru/link/?req=doc&amp;base=LAW&amp;n=487024&amp;dst=215" TargetMode="External"/><Relationship Id="rId30" Type="http://schemas.openxmlformats.org/officeDocument/2006/relationships/hyperlink" Target="https://websbor.rosstat.gov.ru/online/info" TargetMode="External"/><Relationship Id="rId35" Type="http://schemas.openxmlformats.org/officeDocument/2006/relationships/hyperlink" Target="https://login.consultant.ru/link/?req=doc&amp;base=LAW&amp;n=360445" TargetMode="External"/><Relationship Id="rId43" Type="http://schemas.openxmlformats.org/officeDocument/2006/relationships/hyperlink" Target="https://login.consultant.ru/link/?req=doc&amp;base=LAW&amp;n=475114&amp;dst=2754" TargetMode="External"/><Relationship Id="rId48" Type="http://schemas.openxmlformats.org/officeDocument/2006/relationships/hyperlink" Target="https://login.consultant.ru/link/?req=doc&amp;base=LAW&amp;n=18181&amp;dst=100018" TargetMode="External"/><Relationship Id="rId56" Type="http://schemas.openxmlformats.org/officeDocument/2006/relationships/hyperlink" Target="https://login.consultant.ru/link/?req=doc&amp;base=LAW&amp;n=405210&amp;dst=10001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1130" TargetMode="External"/><Relationship Id="rId51" Type="http://schemas.openxmlformats.org/officeDocument/2006/relationships/hyperlink" Target="https://login.consultant.ru/link/?req=doc&amp;base=LAW&amp;n=12138&amp;dst=100008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login.consultant.ru/link/?req=doc&amp;base=LAW&amp;n=490979&amp;dst=103914" TargetMode="External"/><Relationship Id="rId33" Type="http://schemas.openxmlformats.org/officeDocument/2006/relationships/hyperlink" Target="https://login.consultant.ru/link/?req=doc&amp;base=LAW&amp;n=115476&amp;dst=100008" TargetMode="External"/><Relationship Id="rId38" Type="http://schemas.openxmlformats.org/officeDocument/2006/relationships/hyperlink" Target="https://login.consultant.ru/link/?req=doc&amp;base=LAW&amp;n=475114&amp;dst=102520" TargetMode="External"/><Relationship Id="rId46" Type="http://schemas.openxmlformats.org/officeDocument/2006/relationships/hyperlink" Target="https://login.consultant.ru/link/?req=doc&amp;base=LAW&amp;n=477406&amp;dst=100403" TargetMode="External"/><Relationship Id="rId59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7181</Words>
  <Characters>40934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Росстата от 31.07.2024 N 338
"Об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организаций, кадров государственной гражданской и муниципал</vt:lpstr>
    </vt:vector>
  </TitlesOfParts>
  <Company>КонсультантПлюс Версия 4024.00.32</Company>
  <LinksUpToDate>false</LinksUpToDate>
  <CharactersWithSpaces>48019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Росстата от 31.07.2024 N 338
"Об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организаций, кадров государственной гражданской и муниципальной службы, условиями труда, движением работников, занятостью населения, численностью и потребностью организаций в работниках по профессиональным группам, численностью и заработной платой работников по категориям в организациях социальной сферы и науки"</dc:title>
  <cp:lastModifiedBy>Тукаленко Татьяна Григорьевна</cp:lastModifiedBy>
  <cp:revision>2</cp:revision>
  <dcterms:created xsi:type="dcterms:W3CDTF">2024-12-04T00:47:00Z</dcterms:created>
  <dcterms:modified xsi:type="dcterms:W3CDTF">2024-12-04T01:20:00Z</dcterms:modified>
</cp:coreProperties>
</file>